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52D3B" w14:textId="77777777" w:rsidR="009E2BD5" w:rsidRDefault="00233071">
      <w:pPr>
        <w:spacing w:after="579" w:line="265" w:lineRule="auto"/>
        <w:ind w:right="-12"/>
        <w:jc w:val="right"/>
      </w:pPr>
      <w:r>
        <w:t xml:space="preserve">Numéro du greffe: </w:t>
      </w:r>
      <w:r w:rsidRPr="00233071">
        <w:t>[</w:t>
      </w:r>
      <w:r w:rsidRPr="00233071">
        <w:rPr>
          <w:highlight w:val="yellow"/>
        </w:rPr>
        <w:t>#</w:t>
      </w:r>
      <w:r w:rsidRPr="00233071">
        <w:t>]</w:t>
      </w:r>
    </w:p>
    <w:p w14:paraId="3335277F" w14:textId="77777777" w:rsidR="009E2BD5" w:rsidRDefault="00B63CF6">
      <w:pPr>
        <w:spacing w:after="0" w:line="265" w:lineRule="auto"/>
        <w:ind w:right="83"/>
        <w:jc w:val="center"/>
      </w:pPr>
      <w:r>
        <w:rPr>
          <w:b/>
          <w:sz w:val="28"/>
        </w:rPr>
        <w:t xml:space="preserve">ONTARIO </w:t>
      </w:r>
    </w:p>
    <w:p w14:paraId="1938FEAB" w14:textId="77777777" w:rsidR="009E2BD5" w:rsidRDefault="00B63CF6">
      <w:pPr>
        <w:spacing w:after="486" w:line="265" w:lineRule="auto"/>
        <w:ind w:right="4"/>
        <w:jc w:val="center"/>
      </w:pPr>
      <w:r>
        <w:rPr>
          <w:b/>
          <w:sz w:val="28"/>
        </w:rPr>
        <w:t>COUR SUPÉRIEURE DE JUSTICE</w:t>
      </w:r>
    </w:p>
    <w:p w14:paraId="3A8E9D32" w14:textId="77777777" w:rsidR="009E2BD5" w:rsidRDefault="00B63CF6">
      <w:pPr>
        <w:spacing w:line="259" w:lineRule="auto"/>
        <w:ind w:left="-5" w:right="15"/>
      </w:pPr>
      <w:r>
        <w:t>ENTRE:</w:t>
      </w:r>
    </w:p>
    <w:p w14:paraId="0C314E0D" w14:textId="77777777" w:rsidR="00233071" w:rsidRDefault="00233071" w:rsidP="00233071">
      <w:pPr>
        <w:spacing w:after="3" w:line="265" w:lineRule="auto"/>
        <w:ind w:right="-12"/>
        <w:jc w:val="center"/>
      </w:pPr>
      <w:r>
        <w:t>[</w:t>
      </w:r>
      <w:r w:rsidRPr="00233071">
        <w:rPr>
          <w:highlight w:val="yellow"/>
        </w:rPr>
        <w:t>DEMANDEUR</w:t>
      </w:r>
      <w:r w:rsidRPr="00233071">
        <w:t>]</w:t>
      </w:r>
    </w:p>
    <w:p w14:paraId="5A8BF5C1" w14:textId="77777777" w:rsidR="009E2BD5" w:rsidRPr="00EA020D" w:rsidRDefault="00B63CF6">
      <w:pPr>
        <w:spacing w:after="3" w:line="265" w:lineRule="auto"/>
        <w:ind w:right="-12"/>
        <w:jc w:val="right"/>
      </w:pPr>
      <w:r w:rsidRPr="00EA020D">
        <w:t>DEMANDEUR</w:t>
      </w:r>
    </w:p>
    <w:p w14:paraId="465FCD52" w14:textId="77777777" w:rsidR="009E2BD5" w:rsidRPr="00EA020D" w:rsidRDefault="00B63CF6">
      <w:pPr>
        <w:spacing w:after="800" w:line="265" w:lineRule="auto"/>
        <w:ind w:left="22" w:right="13"/>
        <w:jc w:val="center"/>
      </w:pPr>
      <w:proofErr w:type="gramStart"/>
      <w:r w:rsidRPr="00EA020D">
        <w:t>and</w:t>
      </w:r>
      <w:proofErr w:type="gramEnd"/>
    </w:p>
    <w:p w14:paraId="6454A551" w14:textId="77777777" w:rsidR="00233071" w:rsidRDefault="00233071" w:rsidP="00233071">
      <w:pPr>
        <w:pStyle w:val="Titre1"/>
        <w:spacing w:after="120" w:line="264" w:lineRule="auto"/>
        <w:ind w:left="22" w:right="11" w:hanging="11"/>
        <w:jc w:val="center"/>
        <w:rPr>
          <w:b w:val="0"/>
        </w:rPr>
      </w:pPr>
      <w:r w:rsidRPr="00233071">
        <w:rPr>
          <w:b w:val="0"/>
        </w:rPr>
        <w:t>[</w:t>
      </w:r>
      <w:r w:rsidRPr="00233071">
        <w:rPr>
          <w:b w:val="0"/>
          <w:highlight w:val="yellow"/>
        </w:rPr>
        <w:t>DÉFENDEUR 1</w:t>
      </w:r>
      <w:r w:rsidRPr="00233071">
        <w:rPr>
          <w:b w:val="0"/>
        </w:rPr>
        <w:t>]</w:t>
      </w:r>
      <w:r w:rsidR="00B63CF6" w:rsidRPr="00233071">
        <w:rPr>
          <w:b w:val="0"/>
        </w:rPr>
        <w:t xml:space="preserve">, </w:t>
      </w:r>
      <w:r w:rsidRPr="00233071">
        <w:rPr>
          <w:b w:val="0"/>
        </w:rPr>
        <w:t>[</w:t>
      </w:r>
      <w:r>
        <w:rPr>
          <w:b w:val="0"/>
          <w:highlight w:val="yellow"/>
        </w:rPr>
        <w:t>DÉFENDEUR 2</w:t>
      </w:r>
      <w:r w:rsidRPr="00233071">
        <w:rPr>
          <w:b w:val="0"/>
        </w:rPr>
        <w:t>]</w:t>
      </w:r>
      <w:r w:rsidR="00B63CF6" w:rsidRPr="00233071">
        <w:rPr>
          <w:b w:val="0"/>
        </w:rPr>
        <w:t xml:space="preserve">, </w:t>
      </w:r>
    </w:p>
    <w:p w14:paraId="1E570F29" w14:textId="77777777" w:rsidR="009E2BD5" w:rsidRPr="00233071" w:rsidRDefault="00233071" w:rsidP="00233071">
      <w:pPr>
        <w:pStyle w:val="Titre1"/>
        <w:spacing w:after="120" w:line="264" w:lineRule="auto"/>
        <w:ind w:left="22" w:right="11" w:hanging="11"/>
        <w:jc w:val="center"/>
      </w:pPr>
      <w:r w:rsidRPr="00233071">
        <w:rPr>
          <w:b w:val="0"/>
        </w:rPr>
        <w:t>[</w:t>
      </w:r>
      <w:r>
        <w:rPr>
          <w:b w:val="0"/>
          <w:highlight w:val="yellow"/>
        </w:rPr>
        <w:t>DÉFENDEUR 3</w:t>
      </w:r>
      <w:r w:rsidRPr="00233071">
        <w:rPr>
          <w:b w:val="0"/>
        </w:rPr>
        <w:t>]</w:t>
      </w:r>
      <w:r w:rsidR="00B63CF6" w:rsidRPr="00233071">
        <w:rPr>
          <w:b w:val="0"/>
        </w:rPr>
        <w:t xml:space="preserve">, and </w:t>
      </w:r>
      <w:r w:rsidRPr="00233071">
        <w:rPr>
          <w:b w:val="0"/>
        </w:rPr>
        <w:t>[</w:t>
      </w:r>
      <w:r>
        <w:rPr>
          <w:b w:val="0"/>
          <w:highlight w:val="yellow"/>
        </w:rPr>
        <w:t>DÉFENDEUR 4</w:t>
      </w:r>
      <w:r w:rsidRPr="00233071">
        <w:rPr>
          <w:b w:val="0"/>
        </w:rPr>
        <w:t>]</w:t>
      </w:r>
    </w:p>
    <w:p w14:paraId="0CED5F9B" w14:textId="77777777" w:rsidR="009E2BD5" w:rsidRDefault="00B63CF6">
      <w:pPr>
        <w:spacing w:after="570" w:line="265" w:lineRule="auto"/>
        <w:ind w:right="-12"/>
        <w:jc w:val="right"/>
      </w:pPr>
      <w:r>
        <w:t>DÉFENDEURS</w:t>
      </w:r>
    </w:p>
    <w:p w14:paraId="09796A45" w14:textId="77777777" w:rsidR="009E2BD5" w:rsidRDefault="00B63CF6">
      <w:pPr>
        <w:spacing w:after="0" w:line="265" w:lineRule="auto"/>
        <w:jc w:val="center"/>
      </w:pPr>
      <w:r>
        <w:rPr>
          <w:b/>
          <w:sz w:val="28"/>
        </w:rPr>
        <w:t>MÉMOIRE</w:t>
      </w:r>
    </w:p>
    <w:p w14:paraId="11EE8BF2" w14:textId="77777777" w:rsidR="009E2BD5" w:rsidRDefault="00B63CF6">
      <w:pPr>
        <w:spacing w:after="835" w:line="265" w:lineRule="auto"/>
        <w:ind w:right="2"/>
        <w:jc w:val="center"/>
      </w:pPr>
      <w:r>
        <w:rPr>
          <w:b/>
          <w:sz w:val="28"/>
        </w:rPr>
        <w:t xml:space="preserve">DE </w:t>
      </w:r>
      <w:r w:rsidR="00233071" w:rsidRPr="00233071">
        <w:rPr>
          <w:b/>
        </w:rPr>
        <w:t>[</w:t>
      </w:r>
      <w:r w:rsidR="00233071">
        <w:rPr>
          <w:b/>
          <w:highlight w:val="yellow"/>
        </w:rPr>
        <w:t>DÉFENDEUR 3</w:t>
      </w:r>
      <w:r w:rsidR="00233071" w:rsidRPr="00233071">
        <w:rPr>
          <w:b/>
        </w:rPr>
        <w:t>]</w:t>
      </w:r>
      <w:r w:rsidR="00233071">
        <w:rPr>
          <w:b/>
        </w:rPr>
        <w:t xml:space="preserve"> </w:t>
      </w:r>
      <w:r>
        <w:rPr>
          <w:b/>
          <w:sz w:val="28"/>
        </w:rPr>
        <w:t xml:space="preserve">et </w:t>
      </w:r>
      <w:r w:rsidR="00233071" w:rsidRPr="00233071">
        <w:rPr>
          <w:b/>
        </w:rPr>
        <w:t>[</w:t>
      </w:r>
      <w:r w:rsidR="00233071">
        <w:rPr>
          <w:b/>
          <w:highlight w:val="yellow"/>
        </w:rPr>
        <w:t>DÉFENDEUR 4</w:t>
      </w:r>
      <w:r w:rsidR="00233071" w:rsidRPr="00233071">
        <w:rPr>
          <w:b/>
        </w:rPr>
        <w:t>]</w:t>
      </w:r>
    </w:p>
    <w:p w14:paraId="077B8335" w14:textId="77777777" w:rsidR="009E2BD5" w:rsidRDefault="00B63CF6">
      <w:pPr>
        <w:pStyle w:val="Titre1"/>
        <w:ind w:left="-5"/>
      </w:pPr>
      <w:r>
        <w:t>PARTIE UN  - SOMMAIRE DE LA MOTION</w:t>
      </w:r>
    </w:p>
    <w:p w14:paraId="286535E3" w14:textId="77777777" w:rsidR="009E2BD5" w:rsidRDefault="00B63CF6">
      <w:pPr>
        <w:numPr>
          <w:ilvl w:val="0"/>
          <w:numId w:val="1"/>
        </w:numPr>
        <w:spacing w:after="548"/>
        <w:ind w:right="15" w:hanging="720"/>
      </w:pPr>
      <w:r>
        <w:t>Dans</w:t>
      </w:r>
      <w:bookmarkStart w:id="0" w:name="_GoBack"/>
      <w:bookmarkEnd w:id="0"/>
      <w:r>
        <w:t xml:space="preserve"> cette motion, le demandeur demande la restitution de son ancienne propriété: essentiellement, le jugement sommaire selon le paragraphe 1 (a) de sa Déclaration: </w:t>
      </w:r>
    </w:p>
    <w:p w14:paraId="4DD110B1" w14:textId="77777777" w:rsidR="009E2BD5" w:rsidRDefault="00B63CF6">
      <w:pPr>
        <w:spacing w:after="856" w:line="240" w:lineRule="auto"/>
        <w:ind w:left="1450" w:right="757"/>
      </w:pPr>
      <w:r>
        <w:t>“1. (a)  l’annulation de la vente frauduleuse de la propriété du demandeur.”</w:t>
      </w:r>
    </w:p>
    <w:p w14:paraId="687A3E39" w14:textId="77777777" w:rsidR="009E2BD5" w:rsidRDefault="00B63CF6">
      <w:pPr>
        <w:numPr>
          <w:ilvl w:val="0"/>
          <w:numId w:val="1"/>
        </w:numPr>
        <w:ind w:right="15" w:hanging="720"/>
      </w:pPr>
      <w:r>
        <w:t xml:space="preserve">Alternativement, le demandeur </w:t>
      </w:r>
      <w:r w:rsidR="00233071">
        <w:t>demande une ordonnance que le dé</w:t>
      </w:r>
      <w:r>
        <w:t xml:space="preserve">fendeur </w:t>
      </w:r>
      <w:r w:rsidR="00233071" w:rsidRPr="00233071">
        <w:t>[</w:t>
      </w:r>
      <w:r w:rsidR="00233071">
        <w:rPr>
          <w:highlight w:val="yellow"/>
        </w:rPr>
        <w:t>DÉFENDEUR 1</w:t>
      </w:r>
      <w:r w:rsidR="00233071" w:rsidRPr="00233071">
        <w:t>]</w:t>
      </w:r>
      <w:r w:rsidR="00233071">
        <w:t xml:space="preserve"> </w:t>
      </w:r>
      <w:r>
        <w:t xml:space="preserve">rende compte du produit de la vente conformément aux articles 27 et 30 de la </w:t>
      </w:r>
      <w:r>
        <w:rPr>
          <w:i/>
        </w:rPr>
        <w:t>Loi sur les hypothèques</w:t>
      </w:r>
      <w:r>
        <w:t xml:space="preserve">.  (Ce </w:t>
      </w:r>
      <w:r>
        <w:lastRenderedPageBreak/>
        <w:t>qui n’est pas demandé dans sa Déclaration. De toute façon, ce qui ne touche pas les acheteurs de la maison.)</w:t>
      </w:r>
    </w:p>
    <w:p w14:paraId="34B20E70" w14:textId="77777777" w:rsidR="00233071" w:rsidRDefault="00233071" w:rsidP="00233071">
      <w:pPr>
        <w:ind w:left="720" w:right="15" w:firstLine="0"/>
      </w:pPr>
    </w:p>
    <w:p w14:paraId="2DE0B096" w14:textId="77777777" w:rsidR="009E2BD5" w:rsidRDefault="00B63CF6">
      <w:pPr>
        <w:numPr>
          <w:ilvl w:val="0"/>
          <w:numId w:val="1"/>
        </w:numPr>
        <w:spacing w:after="262" w:line="259" w:lineRule="auto"/>
        <w:ind w:right="15" w:hanging="720"/>
      </w:pPr>
      <w:r>
        <w:t xml:space="preserve">Enfin, ce dernier a déjà été rejeté par le juge </w:t>
      </w:r>
      <w:r w:rsidR="00233071" w:rsidRPr="00233071">
        <w:t>[</w:t>
      </w:r>
      <w:r w:rsidR="00233071" w:rsidRPr="00233071">
        <w:rPr>
          <w:highlight w:val="yellow"/>
        </w:rPr>
        <w:t>NOM</w:t>
      </w:r>
      <w:r w:rsidR="00233071" w:rsidRPr="00233071">
        <w:t>]</w:t>
      </w:r>
      <w:r w:rsidRPr="00233071">
        <w:t>.</w:t>
      </w:r>
    </w:p>
    <w:p w14:paraId="1FE3326D" w14:textId="77777777" w:rsidR="009E2BD5" w:rsidRDefault="00B63CF6">
      <w:pPr>
        <w:pStyle w:val="Titre2"/>
        <w:spacing w:after="821"/>
        <w:ind w:left="22" w:right="0"/>
      </w:pPr>
      <w:r>
        <w:t>- Dossier de motion des intimées, l’onglet E, page 121</w:t>
      </w:r>
    </w:p>
    <w:p w14:paraId="6A124175" w14:textId="77777777" w:rsidR="009E2BD5" w:rsidRDefault="00B63CF6">
      <w:pPr>
        <w:numPr>
          <w:ilvl w:val="0"/>
          <w:numId w:val="2"/>
        </w:numPr>
        <w:ind w:right="15" w:hanging="720"/>
      </w:pPr>
      <w:r>
        <w:t>Le demandeur avait signifié les intimées avec un avis de motion à la cour divisionnaire, le</w:t>
      </w:r>
      <w:r w:rsidRPr="00233071">
        <w:t xml:space="preserve"> </w:t>
      </w:r>
      <w:r w:rsidR="00233071" w:rsidRPr="00233071">
        <w:t>[</w:t>
      </w:r>
      <w:r w:rsidR="00233071" w:rsidRPr="00233071">
        <w:rPr>
          <w:highlight w:val="yellow"/>
        </w:rPr>
        <w:t>DATE</w:t>
      </w:r>
      <w:r w:rsidR="00233071" w:rsidRPr="00233071">
        <w:t>]</w:t>
      </w:r>
      <w:r w:rsidRPr="00233071">
        <w:t xml:space="preserve">, </w:t>
      </w:r>
      <w:r w:rsidR="00233071">
        <w:t>pour la même requête. La</w:t>
      </w:r>
      <w:r>
        <w:t xml:space="preserve"> motion n’a pas été entendue</w:t>
      </w:r>
      <w:r>
        <w:rPr>
          <w:i/>
        </w:rPr>
        <w:t xml:space="preserve"> </w:t>
      </w:r>
      <w:r>
        <w:t>parce que le greffe ne l’a pas accepté.  Le demandeur n’a pas communiqué aux procureurs d</w:t>
      </w:r>
      <w:r w:rsidR="00233071">
        <w:t>e ces intimées, et il a menti à la</w:t>
      </w:r>
      <w:r>
        <w:t xml:space="preserve"> cour sur la formulaire Confirmation of </w:t>
      </w:r>
      <w:proofErr w:type="spellStart"/>
      <w:r>
        <w:t>Hearing</w:t>
      </w:r>
      <w:proofErr w:type="spellEnd"/>
      <w:r>
        <w:t xml:space="preserve"> que “I have </w:t>
      </w:r>
      <w:proofErr w:type="spellStart"/>
      <w:r>
        <w:t>discussed</w:t>
      </w:r>
      <w:proofErr w:type="spellEnd"/>
      <w:r>
        <w:t xml:space="preserve"> </w:t>
      </w:r>
      <w:proofErr w:type="spellStart"/>
      <w:r>
        <w:t>with</w:t>
      </w:r>
      <w:proofErr w:type="spellEnd"/>
      <w:r>
        <w:t xml:space="preserve"> </w:t>
      </w:r>
      <w:proofErr w:type="spellStart"/>
      <w:r>
        <w:t>opposing</w:t>
      </w:r>
      <w:proofErr w:type="spellEnd"/>
      <w:r>
        <w:t xml:space="preserve"> </w:t>
      </w:r>
      <w:proofErr w:type="spellStart"/>
      <w:r>
        <w:t>counsel</w:t>
      </w:r>
      <w:proofErr w:type="spellEnd"/>
      <w:r>
        <w:t xml:space="preserve"> the </w:t>
      </w:r>
      <w:proofErr w:type="spellStart"/>
      <w:r>
        <w:t>matters</w:t>
      </w:r>
      <w:proofErr w:type="spellEnd"/>
      <w:r>
        <w:t xml:space="preserve"> </w:t>
      </w:r>
      <w:proofErr w:type="spellStart"/>
      <w:r>
        <w:t>referred</w:t>
      </w:r>
      <w:proofErr w:type="spellEnd"/>
      <w:r>
        <w:t xml:space="preserve"> to </w:t>
      </w:r>
      <w:proofErr w:type="spellStart"/>
      <w:r>
        <w:t>below</w:t>
      </w:r>
      <w:proofErr w:type="spellEnd"/>
      <w:r>
        <w:t>.”</w:t>
      </w:r>
    </w:p>
    <w:p w14:paraId="596618BE" w14:textId="77777777" w:rsidR="009E2BD5" w:rsidRDefault="00B63CF6">
      <w:pPr>
        <w:spacing w:after="603"/>
        <w:ind w:left="1450" w:right="15"/>
      </w:pPr>
      <w:r>
        <w:t>- Dossier de motion des intimées, les onglets K et L</w:t>
      </w:r>
    </w:p>
    <w:p w14:paraId="3CD018CD" w14:textId="77777777" w:rsidR="009E2BD5" w:rsidRDefault="00B63CF6">
      <w:pPr>
        <w:numPr>
          <w:ilvl w:val="0"/>
          <w:numId w:val="2"/>
        </w:numPr>
        <w:spacing w:after="283" w:line="259" w:lineRule="auto"/>
        <w:ind w:right="15" w:hanging="720"/>
      </w:pPr>
      <w:r>
        <w:t>Les motifs de cette motion sont les suivants:</w:t>
      </w:r>
    </w:p>
    <w:p w14:paraId="165439E8" w14:textId="77777777" w:rsidR="009E2BD5" w:rsidRDefault="00B63CF6">
      <w:pPr>
        <w:numPr>
          <w:ilvl w:val="1"/>
          <w:numId w:val="2"/>
        </w:numPr>
        <w:spacing w:after="282" w:line="259" w:lineRule="auto"/>
        <w:ind w:right="15" w:hanging="720"/>
      </w:pPr>
      <w:r>
        <w:t>la motion est ‘très urgent’;</w:t>
      </w:r>
    </w:p>
    <w:p w14:paraId="383E2D0F" w14:textId="77777777" w:rsidR="009E2BD5" w:rsidRDefault="00B63CF6">
      <w:pPr>
        <w:numPr>
          <w:ilvl w:val="1"/>
          <w:numId w:val="2"/>
        </w:numPr>
        <w:spacing w:after="283" w:line="259" w:lineRule="auto"/>
        <w:ind w:right="15" w:hanging="720"/>
      </w:pPr>
      <w:r>
        <w:t>la transaction est frauduleuse; et</w:t>
      </w:r>
    </w:p>
    <w:p w14:paraId="44535FA2" w14:textId="77777777" w:rsidR="009E2BD5" w:rsidRDefault="00B63CF6">
      <w:pPr>
        <w:numPr>
          <w:ilvl w:val="1"/>
          <w:numId w:val="2"/>
        </w:numPr>
        <w:spacing w:after="565" w:line="247" w:lineRule="auto"/>
        <w:ind w:right="15" w:hanging="720"/>
      </w:pPr>
      <w:r>
        <w:t xml:space="preserve">le défendeur </w:t>
      </w:r>
      <w:r w:rsidR="00233071" w:rsidRPr="00233071">
        <w:t>[</w:t>
      </w:r>
      <w:r w:rsidR="00233071">
        <w:rPr>
          <w:highlight w:val="yellow"/>
        </w:rPr>
        <w:t>DÉFENDEUR 1</w:t>
      </w:r>
      <w:r w:rsidR="00233071" w:rsidRPr="00233071">
        <w:t xml:space="preserve">] </w:t>
      </w:r>
      <w:r>
        <w:t>(vendeur/créancier hypothécaire) a conservé toute la somme de la vente.</w:t>
      </w:r>
    </w:p>
    <w:p w14:paraId="4D8892C2" w14:textId="77777777" w:rsidR="009E2BD5" w:rsidRDefault="00B63CF6" w:rsidP="00233071">
      <w:pPr>
        <w:numPr>
          <w:ilvl w:val="0"/>
          <w:numId w:val="2"/>
        </w:numPr>
        <w:ind w:right="15" w:hanging="720"/>
      </w:pPr>
      <w:r>
        <w:t xml:space="preserve">Cette motion de jugement sommaire doit être rejetée.  Selon </w:t>
      </w:r>
      <w:r w:rsidR="00233071">
        <w:t>la</w:t>
      </w:r>
      <w:r>
        <w:t xml:space="preserve"> règle 20.04, la cour doit être convaincue qu'une demande ou une défense ne soulève pas de question litigieuse.  En fait, il faut que le demandeur établisse que </w:t>
      </w:r>
      <w:r w:rsidR="00233071" w:rsidRPr="00233071">
        <w:t>[</w:t>
      </w:r>
      <w:r w:rsidR="00233071">
        <w:rPr>
          <w:highlight w:val="yellow"/>
        </w:rPr>
        <w:t>DÉFENDEUR 1</w:t>
      </w:r>
      <w:r w:rsidR="00233071" w:rsidRPr="00233071">
        <w:t xml:space="preserve">] </w:t>
      </w:r>
      <w:r>
        <w:t xml:space="preserve">a illicitement vendu la propriété </w:t>
      </w:r>
      <w:r w:rsidR="00EA020D">
        <w:t>aux acheteurs</w:t>
      </w:r>
      <w:r>
        <w:t xml:space="preserve">.  Très loin de cela, il est bien évident que le demandeur n’a aucun droit de maintenir cette instance.  Le dossier de motion du </w:t>
      </w:r>
      <w:r w:rsidR="000307BF">
        <w:lastRenderedPageBreak/>
        <w:t>demandeur ne montre</w:t>
      </w:r>
      <w:r>
        <w:t xml:space="preserve"> aucune preuve d’une vente frauduleuse, seulement des allégations scandaleuses contre les procureurs du créancier, </w:t>
      </w:r>
      <w:r w:rsidR="00233071" w:rsidRPr="00233071">
        <w:t>[</w:t>
      </w:r>
      <w:r w:rsidR="00233071">
        <w:rPr>
          <w:highlight w:val="yellow"/>
        </w:rPr>
        <w:t>DÉFENDEUR 1</w:t>
      </w:r>
      <w:r w:rsidR="00233071" w:rsidRPr="00233071">
        <w:t>]</w:t>
      </w:r>
      <w:r>
        <w:t xml:space="preserve">, et de </w:t>
      </w:r>
      <w:r w:rsidR="00233071" w:rsidRPr="00233071">
        <w:t>[</w:t>
      </w:r>
      <w:r w:rsidR="00233071">
        <w:rPr>
          <w:highlight w:val="yellow"/>
        </w:rPr>
        <w:t>BANQUE</w:t>
      </w:r>
      <w:r w:rsidR="00233071" w:rsidRPr="00233071">
        <w:t>]</w:t>
      </w:r>
      <w:r>
        <w:t>.</w:t>
      </w:r>
    </w:p>
    <w:p w14:paraId="0B72EC34" w14:textId="77777777" w:rsidR="00233071" w:rsidRDefault="00233071">
      <w:pPr>
        <w:pStyle w:val="Titre1"/>
        <w:ind w:left="-5"/>
      </w:pPr>
    </w:p>
    <w:p w14:paraId="52DC448E" w14:textId="77777777" w:rsidR="009E2BD5" w:rsidRDefault="00B63CF6">
      <w:pPr>
        <w:pStyle w:val="Titre1"/>
        <w:ind w:left="-5"/>
      </w:pPr>
      <w:r>
        <w:t>PARTIE DEUX - LES ANTÉCÉDENTS DE CETTE INSTANCE</w:t>
      </w:r>
    </w:p>
    <w:p w14:paraId="673EE83B" w14:textId="77777777" w:rsidR="009E2BD5" w:rsidRDefault="00B63CF6">
      <w:pPr>
        <w:numPr>
          <w:ilvl w:val="0"/>
          <w:numId w:val="3"/>
        </w:numPr>
        <w:ind w:right="15" w:hanging="720"/>
      </w:pPr>
      <w:r>
        <w:t xml:space="preserve">Les antécédents de cette instance font une </w:t>
      </w:r>
      <w:r w:rsidR="00233071">
        <w:t>grande</w:t>
      </w:r>
      <w:r>
        <w:t xml:space="preserve"> histoire litigeuse, ce qui contredit ‘l’urgence’ de la motion.  Le reportage de </w:t>
      </w:r>
      <w:proofErr w:type="spellStart"/>
      <w:r>
        <w:t>QuickLaw</w:t>
      </w:r>
      <w:proofErr w:type="spellEnd"/>
      <w:r>
        <w:t xml:space="preserve"> indique que le demandeur, débiteur hypothécaire, a commencé à être en défaut de paiement depuis le </w:t>
      </w:r>
      <w:r w:rsidR="00233071" w:rsidRPr="00233071">
        <w:t>[</w:t>
      </w:r>
      <w:r w:rsidR="00233071">
        <w:rPr>
          <w:highlight w:val="yellow"/>
        </w:rPr>
        <w:t>DATE</w:t>
      </w:r>
      <w:r w:rsidR="00233071" w:rsidRPr="00233071">
        <w:t>]</w:t>
      </w:r>
      <w:r>
        <w:t xml:space="preserve">.  Il a acheté la propriété au </w:t>
      </w:r>
      <w:r w:rsidR="00233071" w:rsidRPr="00233071">
        <w:t>[</w:t>
      </w:r>
      <w:r w:rsidR="00233071">
        <w:rPr>
          <w:highlight w:val="yellow"/>
        </w:rPr>
        <w:t>DATE</w:t>
      </w:r>
      <w:r w:rsidR="00233071" w:rsidRPr="00233071">
        <w:t>]</w:t>
      </w:r>
      <w:r>
        <w:t>.</w:t>
      </w:r>
    </w:p>
    <w:p w14:paraId="736007CE" w14:textId="77777777" w:rsidR="009E2BD5" w:rsidRDefault="00B63CF6" w:rsidP="00233071">
      <w:pPr>
        <w:spacing w:line="259" w:lineRule="auto"/>
        <w:ind w:left="1450" w:right="15"/>
      </w:pPr>
      <w:r>
        <w:t xml:space="preserve">- </w:t>
      </w:r>
      <w:r w:rsidR="00233071" w:rsidRPr="00233071">
        <w:rPr>
          <w:i/>
        </w:rPr>
        <w:t>[</w:t>
      </w:r>
      <w:r w:rsidR="00233071" w:rsidRPr="00233071">
        <w:rPr>
          <w:i/>
          <w:highlight w:val="yellow"/>
        </w:rPr>
        <w:t>NOM</w:t>
      </w:r>
      <w:r w:rsidR="00233071" w:rsidRPr="00233071">
        <w:rPr>
          <w:i/>
        </w:rPr>
        <w:t xml:space="preserve">] </w:t>
      </w:r>
      <w:r w:rsidRPr="00233071">
        <w:rPr>
          <w:i/>
        </w:rPr>
        <w:t xml:space="preserve"> c. </w:t>
      </w:r>
      <w:r w:rsidR="00233071" w:rsidRPr="00233071">
        <w:rPr>
          <w:i/>
        </w:rPr>
        <w:t>[</w:t>
      </w:r>
      <w:r w:rsidR="00233071" w:rsidRPr="00233071">
        <w:rPr>
          <w:i/>
          <w:highlight w:val="yellow"/>
        </w:rPr>
        <w:t>NOM</w:t>
      </w:r>
      <w:r w:rsidR="00233071" w:rsidRPr="00233071">
        <w:rPr>
          <w:i/>
        </w:rPr>
        <w:t>]</w:t>
      </w:r>
      <w:r>
        <w:t xml:space="preserve">, Cour d’Appel de l’Ontario </w:t>
      </w:r>
      <w:r w:rsidR="00233071" w:rsidRPr="00233071">
        <w:t>[</w:t>
      </w:r>
      <w:r w:rsidR="00233071">
        <w:rPr>
          <w:highlight w:val="yellow"/>
        </w:rPr>
        <w:t>#</w:t>
      </w:r>
      <w:r w:rsidR="00233071" w:rsidRPr="00233071">
        <w:t>]</w:t>
      </w:r>
      <w:r>
        <w:t xml:space="preserve">, </w:t>
      </w:r>
      <w:r w:rsidR="00233071" w:rsidRPr="00233071">
        <w:t>[</w:t>
      </w:r>
      <w:r w:rsidR="00233071">
        <w:rPr>
          <w:highlight w:val="yellow"/>
        </w:rPr>
        <w:t>DATE</w:t>
      </w:r>
      <w:r>
        <w:t>: Dossier de motion des intimées, l’onglet  H, para. 3</w:t>
      </w:r>
    </w:p>
    <w:p w14:paraId="46186B03" w14:textId="77777777" w:rsidR="00233071" w:rsidRDefault="00233071" w:rsidP="00233071">
      <w:pPr>
        <w:spacing w:line="259" w:lineRule="auto"/>
        <w:ind w:left="1450" w:right="15"/>
      </w:pPr>
    </w:p>
    <w:p w14:paraId="31CE31A0" w14:textId="77777777" w:rsidR="00233071" w:rsidRDefault="00233071" w:rsidP="00233071">
      <w:pPr>
        <w:spacing w:line="259" w:lineRule="auto"/>
        <w:ind w:left="1450" w:right="15"/>
      </w:pPr>
    </w:p>
    <w:p w14:paraId="4E52914E" w14:textId="77777777" w:rsidR="009E2BD5" w:rsidRDefault="00B63CF6">
      <w:pPr>
        <w:numPr>
          <w:ilvl w:val="0"/>
          <w:numId w:val="3"/>
        </w:numPr>
        <w:ind w:right="15" w:hanging="720"/>
      </w:pPr>
      <w:r>
        <w:t xml:space="preserve">Dans </w:t>
      </w:r>
      <w:r w:rsidR="00233071" w:rsidRPr="00233071">
        <w:rPr>
          <w:i/>
        </w:rPr>
        <w:t>[</w:t>
      </w:r>
      <w:r w:rsidR="00233071" w:rsidRPr="00233071">
        <w:rPr>
          <w:i/>
          <w:highlight w:val="yellow"/>
        </w:rPr>
        <w:t>NOM</w:t>
      </w:r>
      <w:r w:rsidR="00233071" w:rsidRPr="00233071">
        <w:rPr>
          <w:i/>
        </w:rPr>
        <w:t xml:space="preserve">] </w:t>
      </w:r>
      <w:r w:rsidRPr="00233071">
        <w:rPr>
          <w:i/>
        </w:rPr>
        <w:t xml:space="preserve">c. </w:t>
      </w:r>
      <w:r w:rsidR="00233071" w:rsidRPr="00233071">
        <w:rPr>
          <w:i/>
        </w:rPr>
        <w:t>[</w:t>
      </w:r>
      <w:r w:rsidR="00233071" w:rsidRPr="00233071">
        <w:rPr>
          <w:i/>
          <w:highlight w:val="yellow"/>
        </w:rPr>
        <w:t>NOM</w:t>
      </w:r>
      <w:r w:rsidR="00233071" w:rsidRPr="00233071">
        <w:rPr>
          <w:i/>
        </w:rPr>
        <w:t>]</w:t>
      </w:r>
      <w:r>
        <w:rPr>
          <w:i/>
        </w:rPr>
        <w:t>,</w:t>
      </w:r>
      <w:r>
        <w:t xml:space="preserve"> l’instance était entre le demandeur et les hypothécaires </w:t>
      </w:r>
      <w:r w:rsidR="000307BF">
        <w:t>originaux</w:t>
      </w:r>
      <w:r>
        <w:t xml:space="preserve">, </w:t>
      </w:r>
      <w:r w:rsidR="00233071" w:rsidRPr="00233071">
        <w:t>[</w:t>
      </w:r>
      <w:r w:rsidR="00233071" w:rsidRPr="00233071">
        <w:rPr>
          <w:highlight w:val="yellow"/>
        </w:rPr>
        <w:t>NOM</w:t>
      </w:r>
      <w:r w:rsidR="00233071" w:rsidRPr="00233071">
        <w:t xml:space="preserve">] </w:t>
      </w:r>
      <w:r>
        <w:t xml:space="preserve">et </w:t>
      </w:r>
      <w:r w:rsidR="00233071" w:rsidRPr="00233071">
        <w:t>[</w:t>
      </w:r>
      <w:r w:rsidR="00233071" w:rsidRPr="00233071">
        <w:rPr>
          <w:highlight w:val="yellow"/>
        </w:rPr>
        <w:t>NOM</w:t>
      </w:r>
      <w:r w:rsidR="00233071" w:rsidRPr="00233071">
        <w:t>]</w:t>
      </w:r>
      <w:r>
        <w:t>.  Au lieu de payer les versements, il a contesté les montants qu’il lui fallait payer.</w:t>
      </w:r>
    </w:p>
    <w:p w14:paraId="509D306E" w14:textId="77777777" w:rsidR="009E2BD5" w:rsidRDefault="00B63CF6" w:rsidP="00233071">
      <w:pPr>
        <w:spacing w:line="259" w:lineRule="auto"/>
        <w:ind w:left="1450" w:right="15"/>
      </w:pPr>
      <w:r>
        <w:t xml:space="preserve">- </w:t>
      </w:r>
      <w:r w:rsidR="00233071" w:rsidRPr="00233071">
        <w:rPr>
          <w:i/>
        </w:rPr>
        <w:t>[</w:t>
      </w:r>
      <w:r w:rsidR="00233071" w:rsidRPr="00233071">
        <w:rPr>
          <w:i/>
          <w:highlight w:val="yellow"/>
        </w:rPr>
        <w:t>NOM</w:t>
      </w:r>
      <w:r w:rsidR="00233071" w:rsidRPr="00233071">
        <w:rPr>
          <w:i/>
        </w:rPr>
        <w:t xml:space="preserve">] </w:t>
      </w:r>
      <w:r w:rsidRPr="00233071">
        <w:rPr>
          <w:i/>
        </w:rPr>
        <w:t xml:space="preserve">c. </w:t>
      </w:r>
      <w:r w:rsidR="00233071" w:rsidRPr="00233071">
        <w:rPr>
          <w:i/>
        </w:rPr>
        <w:t>[</w:t>
      </w:r>
      <w:r w:rsidR="00233071" w:rsidRPr="00233071">
        <w:rPr>
          <w:i/>
          <w:highlight w:val="yellow"/>
        </w:rPr>
        <w:t>NOM</w:t>
      </w:r>
      <w:r w:rsidR="00233071" w:rsidRPr="00233071">
        <w:rPr>
          <w:i/>
        </w:rPr>
        <w:t>]</w:t>
      </w:r>
      <w:r>
        <w:t xml:space="preserve">, Cour Supérieure </w:t>
      </w:r>
      <w:r w:rsidR="00233071" w:rsidRPr="00233071">
        <w:t>[</w:t>
      </w:r>
      <w:r w:rsidR="00233071">
        <w:rPr>
          <w:highlight w:val="yellow"/>
        </w:rPr>
        <w:t>#</w:t>
      </w:r>
      <w:r w:rsidR="00233071" w:rsidRPr="00233071">
        <w:t>]</w:t>
      </w:r>
      <w:r>
        <w:t xml:space="preserve">, </w:t>
      </w:r>
      <w:r w:rsidR="00233071" w:rsidRPr="00233071">
        <w:t>[</w:t>
      </w:r>
      <w:r w:rsidR="00233071">
        <w:rPr>
          <w:highlight w:val="yellow"/>
        </w:rPr>
        <w:t>DATE</w:t>
      </w:r>
      <w:r w:rsidR="00233071" w:rsidRPr="00233071">
        <w:t>]</w:t>
      </w:r>
      <w:r>
        <w:t xml:space="preserve">; suivi par </w:t>
      </w:r>
      <w:r w:rsidR="00233071" w:rsidRPr="00233071">
        <w:rPr>
          <w:i/>
        </w:rPr>
        <w:t>[</w:t>
      </w:r>
      <w:r w:rsidR="00233071" w:rsidRPr="00233071">
        <w:rPr>
          <w:i/>
          <w:highlight w:val="yellow"/>
        </w:rPr>
        <w:t>NOM</w:t>
      </w:r>
      <w:r w:rsidR="00233071" w:rsidRPr="00233071">
        <w:rPr>
          <w:i/>
        </w:rPr>
        <w:t xml:space="preserve">] </w:t>
      </w:r>
      <w:r w:rsidRPr="00233071">
        <w:rPr>
          <w:i/>
        </w:rPr>
        <w:t xml:space="preserve">c. </w:t>
      </w:r>
      <w:r w:rsidR="00233071" w:rsidRPr="00233071">
        <w:rPr>
          <w:i/>
        </w:rPr>
        <w:t>[</w:t>
      </w:r>
      <w:r w:rsidR="00233071" w:rsidRPr="00233071">
        <w:rPr>
          <w:i/>
          <w:highlight w:val="yellow"/>
        </w:rPr>
        <w:t>NOM</w:t>
      </w:r>
      <w:r w:rsidR="00233071" w:rsidRPr="00233071">
        <w:rPr>
          <w:i/>
        </w:rPr>
        <w:t>]</w:t>
      </w:r>
      <w:r>
        <w:t>, Cour d’Appel de l’Ontario</w:t>
      </w:r>
      <w:r w:rsidR="00233071">
        <w:t xml:space="preserve"> </w:t>
      </w:r>
      <w:r w:rsidR="00233071" w:rsidRPr="00233071">
        <w:t>[</w:t>
      </w:r>
      <w:r w:rsidR="00233071">
        <w:rPr>
          <w:highlight w:val="yellow"/>
        </w:rPr>
        <w:t>#</w:t>
      </w:r>
      <w:r w:rsidR="00233071" w:rsidRPr="00233071">
        <w:t>]</w:t>
      </w:r>
      <w:r>
        <w:t>,</w:t>
      </w:r>
      <w:r w:rsidR="00AA3DB6">
        <w:t xml:space="preserve"> </w:t>
      </w:r>
      <w:r w:rsidR="00233071" w:rsidRPr="00233071">
        <w:t>[</w:t>
      </w:r>
      <w:r w:rsidR="00233071">
        <w:rPr>
          <w:highlight w:val="yellow"/>
        </w:rPr>
        <w:t>DATE</w:t>
      </w:r>
      <w:r w:rsidR="00233071" w:rsidRPr="00233071">
        <w:t>]</w:t>
      </w:r>
      <w:r>
        <w:t xml:space="preserve">, </w:t>
      </w:r>
      <w:r w:rsidR="00233071" w:rsidRPr="00233071">
        <w:rPr>
          <w:i/>
        </w:rPr>
        <w:t>[</w:t>
      </w:r>
      <w:r w:rsidR="00233071" w:rsidRPr="00233071">
        <w:rPr>
          <w:i/>
          <w:highlight w:val="yellow"/>
        </w:rPr>
        <w:t>NOM</w:t>
      </w:r>
      <w:r w:rsidR="00233071" w:rsidRPr="00233071">
        <w:rPr>
          <w:i/>
        </w:rPr>
        <w:t xml:space="preserve">] </w:t>
      </w:r>
      <w:r w:rsidRPr="00233071">
        <w:rPr>
          <w:i/>
        </w:rPr>
        <w:t xml:space="preserve">c. </w:t>
      </w:r>
      <w:r w:rsidR="00233071" w:rsidRPr="00233071">
        <w:rPr>
          <w:i/>
        </w:rPr>
        <w:t>[</w:t>
      </w:r>
      <w:r w:rsidR="00233071" w:rsidRPr="00233071">
        <w:rPr>
          <w:i/>
          <w:highlight w:val="yellow"/>
        </w:rPr>
        <w:t>NOM</w:t>
      </w:r>
      <w:r w:rsidR="00233071" w:rsidRPr="00233071">
        <w:rPr>
          <w:i/>
        </w:rPr>
        <w:t>]</w:t>
      </w:r>
      <w:r>
        <w:t xml:space="preserve">, Cour Supérieure </w:t>
      </w:r>
      <w:r w:rsidR="00233071" w:rsidRPr="00233071">
        <w:t>[</w:t>
      </w:r>
      <w:r w:rsidR="00233071">
        <w:rPr>
          <w:highlight w:val="yellow"/>
        </w:rPr>
        <w:t>#</w:t>
      </w:r>
      <w:r w:rsidR="00233071" w:rsidRPr="00233071">
        <w:t>]</w:t>
      </w:r>
      <w:r>
        <w:t>,</w:t>
      </w:r>
      <w:r w:rsidR="00233071" w:rsidRPr="00233071">
        <w:t>[</w:t>
      </w:r>
      <w:r w:rsidR="00233071">
        <w:rPr>
          <w:highlight w:val="yellow"/>
        </w:rPr>
        <w:t>DATE</w:t>
      </w:r>
      <w:r w:rsidR="00233071" w:rsidRPr="00233071">
        <w:t>]</w:t>
      </w:r>
      <w:r>
        <w:t>:  Dossier de motion des intimées, les onglets G, H, I et J</w:t>
      </w:r>
    </w:p>
    <w:p w14:paraId="3957D6A9" w14:textId="77777777" w:rsidR="00233071" w:rsidRDefault="00233071" w:rsidP="00233071">
      <w:pPr>
        <w:spacing w:line="259" w:lineRule="auto"/>
        <w:ind w:left="1450" w:right="15"/>
      </w:pPr>
    </w:p>
    <w:p w14:paraId="79D2DE0B" w14:textId="77777777" w:rsidR="00233071" w:rsidRDefault="00233071" w:rsidP="00233071">
      <w:pPr>
        <w:spacing w:line="259" w:lineRule="auto"/>
        <w:ind w:left="1450" w:right="15"/>
      </w:pPr>
    </w:p>
    <w:p w14:paraId="299D453B" w14:textId="77777777" w:rsidR="009E2BD5" w:rsidRDefault="00B63CF6" w:rsidP="00233071">
      <w:pPr>
        <w:numPr>
          <w:ilvl w:val="0"/>
          <w:numId w:val="3"/>
        </w:numPr>
        <w:ind w:right="15" w:hanging="720"/>
      </w:pPr>
      <w:r>
        <w:t xml:space="preserve">Selon l’instance de la </w:t>
      </w:r>
      <w:r w:rsidR="00233071" w:rsidRPr="00233071">
        <w:t>[</w:t>
      </w:r>
      <w:proofErr w:type="gramStart"/>
      <w:r w:rsidR="00233071" w:rsidRPr="00233071">
        <w:rPr>
          <w:highlight w:val="yellow"/>
        </w:rPr>
        <w:t>BANQUE</w:t>
      </w:r>
      <w:r w:rsidR="00233071" w:rsidRPr="00233071">
        <w:t xml:space="preserve">] </w:t>
      </w:r>
      <w:r>
        <w:t xml:space="preserve"> contre</w:t>
      </w:r>
      <w:proofErr w:type="gramEnd"/>
      <w:r>
        <w:t xml:space="preserve"> </w:t>
      </w:r>
      <w:r w:rsidR="00233071" w:rsidRPr="00233071">
        <w:t>[</w:t>
      </w:r>
      <w:r w:rsidR="00233071" w:rsidRPr="00233071">
        <w:rPr>
          <w:highlight w:val="yellow"/>
        </w:rPr>
        <w:t>DEMANDEUR</w:t>
      </w:r>
      <w:r w:rsidR="00233071" w:rsidRPr="00233071">
        <w:t xml:space="preserve">] </w:t>
      </w:r>
      <w:r>
        <w:t xml:space="preserve">et al., dans </w:t>
      </w:r>
      <w:r w:rsidR="00233071" w:rsidRPr="00233071">
        <w:t>[</w:t>
      </w:r>
      <w:r w:rsidR="00233071" w:rsidRPr="00233071">
        <w:rPr>
          <w:highlight w:val="yellow"/>
        </w:rPr>
        <w:t>#</w:t>
      </w:r>
      <w:r w:rsidR="00233071" w:rsidRPr="00233071">
        <w:t>]</w:t>
      </w:r>
      <w:r>
        <w:t>,</w:t>
      </w:r>
      <w:r w:rsidR="00233071" w:rsidRPr="00233071">
        <w:t>[</w:t>
      </w:r>
      <w:r w:rsidR="00233071">
        <w:rPr>
          <w:highlight w:val="yellow"/>
        </w:rPr>
        <w:t>DEMANDEUR</w:t>
      </w:r>
      <w:r w:rsidR="00233071" w:rsidRPr="00233071">
        <w:t xml:space="preserve">] </w:t>
      </w:r>
      <w:r>
        <w:t xml:space="preserve">a ‘vendu’ la propriété à </w:t>
      </w:r>
      <w:r w:rsidR="00233071" w:rsidRPr="00233071">
        <w:t>[</w:t>
      </w:r>
      <w:r w:rsidR="00233071" w:rsidRPr="00233071">
        <w:rPr>
          <w:highlight w:val="yellow"/>
        </w:rPr>
        <w:t>NOM</w:t>
      </w:r>
      <w:r w:rsidR="00233071" w:rsidRPr="00233071">
        <w:t>]</w:t>
      </w:r>
      <w:r>
        <w:t xml:space="preserve">, un acheteur fantôme à qui la </w:t>
      </w:r>
      <w:r w:rsidR="00233071" w:rsidRPr="00233071">
        <w:t>[</w:t>
      </w:r>
      <w:r w:rsidR="00233071">
        <w:rPr>
          <w:highlight w:val="yellow"/>
        </w:rPr>
        <w:t>BANQUE</w:t>
      </w:r>
      <w:r w:rsidR="00233071" w:rsidRPr="00233071">
        <w:t xml:space="preserve">] </w:t>
      </w:r>
      <w:r>
        <w:t xml:space="preserve"> a prêté le capital pour l’achat. </w:t>
      </w:r>
    </w:p>
    <w:p w14:paraId="1175BE61" w14:textId="77777777" w:rsidR="009E2BD5" w:rsidRDefault="00B63CF6">
      <w:pPr>
        <w:ind w:left="730" w:right="15"/>
      </w:pPr>
      <w:r>
        <w:t xml:space="preserve">Selon la </w:t>
      </w:r>
      <w:r w:rsidR="00233071" w:rsidRPr="00233071">
        <w:t>[</w:t>
      </w:r>
      <w:r w:rsidR="00233071">
        <w:rPr>
          <w:highlight w:val="yellow"/>
        </w:rPr>
        <w:t>BANQUE</w:t>
      </w:r>
      <w:r w:rsidR="00233071" w:rsidRPr="00233071">
        <w:t>]</w:t>
      </w:r>
      <w:r>
        <w:t xml:space="preserve">, la </w:t>
      </w:r>
      <w:r w:rsidR="00233071" w:rsidRPr="00233071">
        <w:t>[</w:t>
      </w:r>
      <w:r w:rsidR="00233071">
        <w:rPr>
          <w:highlight w:val="yellow"/>
        </w:rPr>
        <w:t>BANQUE</w:t>
      </w:r>
      <w:r w:rsidR="00233071" w:rsidRPr="00233071">
        <w:t xml:space="preserve">] </w:t>
      </w:r>
      <w:r>
        <w:t xml:space="preserve"> a payé </w:t>
      </w:r>
      <w:r w:rsidR="00233071" w:rsidRPr="00233071">
        <w:t>[</w:t>
      </w:r>
      <w:r w:rsidR="00233071">
        <w:rPr>
          <w:highlight w:val="yellow"/>
        </w:rPr>
        <w:t>SOMME</w:t>
      </w:r>
      <w:r w:rsidR="00233071" w:rsidRPr="00233071">
        <w:t>]</w:t>
      </w:r>
      <w:r>
        <w:t xml:space="preserve">, en fiducie, à un avocat, </w:t>
      </w:r>
      <w:r w:rsidR="00233071" w:rsidRPr="00233071">
        <w:t>[</w:t>
      </w:r>
      <w:r w:rsidR="00233071" w:rsidRPr="00233071">
        <w:rPr>
          <w:highlight w:val="yellow"/>
        </w:rPr>
        <w:t>NOM</w:t>
      </w:r>
      <w:r w:rsidR="00233071" w:rsidRPr="00233071">
        <w:t>]</w:t>
      </w:r>
      <w:r>
        <w:t xml:space="preserve">, sans savoir que Maître </w:t>
      </w:r>
      <w:r w:rsidR="00DF67B2" w:rsidRPr="00233071">
        <w:t>[</w:t>
      </w:r>
      <w:r w:rsidR="00DF67B2" w:rsidRPr="00233071">
        <w:rPr>
          <w:highlight w:val="yellow"/>
        </w:rPr>
        <w:t>NOM</w:t>
      </w:r>
      <w:r w:rsidR="00DF67B2" w:rsidRPr="00233071">
        <w:t xml:space="preserve">] </w:t>
      </w:r>
      <w:r>
        <w:t xml:space="preserve">était aussi l’avocat de M. </w:t>
      </w:r>
      <w:r w:rsidR="00DF67B2" w:rsidRPr="00233071">
        <w:t>[</w:t>
      </w:r>
      <w:r w:rsidR="00DF67B2">
        <w:rPr>
          <w:highlight w:val="yellow"/>
        </w:rPr>
        <w:t>DEMANDEUR</w:t>
      </w:r>
      <w:r w:rsidR="00DF67B2" w:rsidRPr="00233071">
        <w:t>]</w:t>
      </w:r>
      <w:r>
        <w:t xml:space="preserve">.  Maitre </w:t>
      </w:r>
      <w:r w:rsidR="00DF67B2" w:rsidRPr="00233071">
        <w:t>[</w:t>
      </w:r>
      <w:r w:rsidR="00DF67B2" w:rsidRPr="00233071">
        <w:rPr>
          <w:highlight w:val="yellow"/>
        </w:rPr>
        <w:t>NOM</w:t>
      </w:r>
      <w:r w:rsidR="00DF67B2" w:rsidRPr="00233071">
        <w:t xml:space="preserve">] </w:t>
      </w:r>
      <w:r>
        <w:t xml:space="preserve">a payé l’avance pour décharger l’hypothèque de </w:t>
      </w:r>
      <w:r w:rsidR="00DF67B2" w:rsidRPr="00233071">
        <w:t>[</w:t>
      </w:r>
      <w:r w:rsidR="00DF67B2" w:rsidRPr="00233071">
        <w:rPr>
          <w:highlight w:val="yellow"/>
        </w:rPr>
        <w:t>NOM</w:t>
      </w:r>
      <w:r w:rsidR="00DF67B2" w:rsidRPr="00233071">
        <w:t xml:space="preserve">] </w:t>
      </w:r>
      <w:r>
        <w:t xml:space="preserve">et </w:t>
      </w:r>
      <w:r w:rsidR="00DF67B2" w:rsidRPr="00233071">
        <w:t>[</w:t>
      </w:r>
      <w:r w:rsidR="00DF67B2" w:rsidRPr="00233071">
        <w:rPr>
          <w:highlight w:val="yellow"/>
        </w:rPr>
        <w:t>NOM</w:t>
      </w:r>
      <w:r w:rsidR="00DF67B2" w:rsidRPr="00233071">
        <w:t>]</w:t>
      </w:r>
      <w:r>
        <w:t xml:space="preserve">, mais il n’a pas déposé l’hypothèque, car </w:t>
      </w:r>
      <w:r w:rsidR="00DF67B2" w:rsidRPr="00233071">
        <w:lastRenderedPageBreak/>
        <w:t>[</w:t>
      </w:r>
      <w:r w:rsidR="00DF67B2" w:rsidRPr="00233071">
        <w:rPr>
          <w:highlight w:val="yellow"/>
        </w:rPr>
        <w:t>NOM</w:t>
      </w:r>
      <w:r w:rsidR="00DF67B2" w:rsidRPr="00233071">
        <w:t xml:space="preserve">] </w:t>
      </w:r>
      <w:r>
        <w:t xml:space="preserve">n’a pas complété l’achat. Le reliquat de </w:t>
      </w:r>
      <w:r w:rsidR="00DF67B2" w:rsidRPr="00233071">
        <w:t>[</w:t>
      </w:r>
      <w:r w:rsidR="00DF67B2">
        <w:rPr>
          <w:highlight w:val="yellow"/>
        </w:rPr>
        <w:t>SOMME</w:t>
      </w:r>
      <w:r w:rsidR="00DF67B2" w:rsidRPr="00233071">
        <w:t xml:space="preserve">] </w:t>
      </w:r>
      <w:r>
        <w:t xml:space="preserve"> ‘</w:t>
      </w:r>
      <w:proofErr w:type="spellStart"/>
      <w:r>
        <w:t>mysteriously</w:t>
      </w:r>
      <w:proofErr w:type="spellEnd"/>
      <w:r>
        <w:t xml:space="preserve"> </w:t>
      </w:r>
      <w:proofErr w:type="spellStart"/>
      <w:r>
        <w:t>evaporated</w:t>
      </w:r>
      <w:proofErr w:type="spellEnd"/>
      <w:r>
        <w:t>.’</w:t>
      </w:r>
    </w:p>
    <w:p w14:paraId="6D154FD3" w14:textId="77777777" w:rsidR="009E2BD5" w:rsidRDefault="00B63CF6">
      <w:pPr>
        <w:numPr>
          <w:ilvl w:val="1"/>
          <w:numId w:val="4"/>
        </w:numPr>
        <w:spacing w:after="254" w:line="259" w:lineRule="auto"/>
        <w:ind w:right="15" w:hanging="147"/>
      </w:pPr>
      <w:r>
        <w:t>Dossier de motion des intimées, l’onglet E, aux pages 30-35</w:t>
      </w:r>
    </w:p>
    <w:p w14:paraId="65A44185" w14:textId="77777777" w:rsidR="009E2BD5" w:rsidRPr="003F557C" w:rsidRDefault="00B63CF6">
      <w:pPr>
        <w:numPr>
          <w:ilvl w:val="1"/>
          <w:numId w:val="4"/>
        </w:numPr>
        <w:spacing w:after="603"/>
        <w:ind w:right="15" w:hanging="147"/>
        <w:rPr>
          <w:lang w:val="en-CA"/>
        </w:rPr>
      </w:pPr>
      <w:r w:rsidRPr="003F557C">
        <w:rPr>
          <w:lang w:val="en-CA"/>
        </w:rPr>
        <w:t xml:space="preserve">Affidavit de M. </w:t>
      </w:r>
      <w:r w:rsidR="00DF67B2" w:rsidRPr="00233071">
        <w:t>[</w:t>
      </w:r>
      <w:r w:rsidR="00DF67B2">
        <w:rPr>
          <w:highlight w:val="yellow"/>
        </w:rPr>
        <w:t>DEMANDEUR</w:t>
      </w:r>
      <w:r w:rsidR="00DF67B2" w:rsidRPr="00233071">
        <w:t>]</w:t>
      </w:r>
      <w:r w:rsidRPr="003F557C">
        <w:rPr>
          <w:lang w:val="en-CA"/>
        </w:rPr>
        <w:t xml:space="preserve">, </w:t>
      </w:r>
      <w:proofErr w:type="spellStart"/>
      <w:r w:rsidRPr="003F557C">
        <w:rPr>
          <w:lang w:val="en-CA"/>
        </w:rPr>
        <w:t>Exh</w:t>
      </w:r>
      <w:proofErr w:type="spellEnd"/>
      <w:r w:rsidRPr="003F557C">
        <w:rPr>
          <w:lang w:val="en-CA"/>
        </w:rPr>
        <w:t>. 8 (TD Statement of Claim)</w:t>
      </w:r>
    </w:p>
    <w:p w14:paraId="69726C7F" w14:textId="77777777" w:rsidR="009E2BD5" w:rsidRDefault="00B63CF6">
      <w:pPr>
        <w:numPr>
          <w:ilvl w:val="0"/>
          <w:numId w:val="3"/>
        </w:numPr>
        <w:ind w:right="15" w:hanging="720"/>
      </w:pPr>
      <w:r>
        <w:t>A c</w:t>
      </w:r>
      <w:r w:rsidR="00DF67B2">
        <w:t xml:space="preserve">ause de ces circonstances, la </w:t>
      </w:r>
      <w:r w:rsidR="00DF67B2" w:rsidRPr="00233071">
        <w:t>[</w:t>
      </w:r>
      <w:r w:rsidR="00DF67B2">
        <w:rPr>
          <w:highlight w:val="yellow"/>
        </w:rPr>
        <w:t>BANQUE</w:t>
      </w:r>
      <w:r w:rsidR="00DF67B2" w:rsidRPr="00233071">
        <w:t>]</w:t>
      </w:r>
      <w:r>
        <w:t xml:space="preserve"> a commencé l’action et a déposé le certificat d’affaire en instance du </w:t>
      </w:r>
      <w:r w:rsidR="00DF67B2" w:rsidRPr="00233071">
        <w:t>[</w:t>
      </w:r>
      <w:r w:rsidR="00DF67B2">
        <w:rPr>
          <w:highlight w:val="yellow"/>
        </w:rPr>
        <w:t>DATE</w:t>
      </w:r>
      <w:r w:rsidR="00DF67B2" w:rsidRPr="00233071">
        <w:t xml:space="preserve">] </w:t>
      </w:r>
      <w:r>
        <w:t>(‘le CPL’).</w:t>
      </w:r>
    </w:p>
    <w:p w14:paraId="65B93487" w14:textId="77777777" w:rsidR="009E2BD5" w:rsidRDefault="00B63CF6">
      <w:pPr>
        <w:spacing w:after="603"/>
        <w:ind w:left="1450" w:right="15"/>
      </w:pPr>
      <w:r>
        <w:t>- Dossier de motion des intimées, l’onglet A-8</w:t>
      </w:r>
    </w:p>
    <w:p w14:paraId="0D210A92" w14:textId="77777777" w:rsidR="009E2BD5" w:rsidRDefault="00DF67B2">
      <w:pPr>
        <w:numPr>
          <w:ilvl w:val="0"/>
          <w:numId w:val="3"/>
        </w:numPr>
        <w:ind w:right="15" w:hanging="720"/>
      </w:pPr>
      <w:r>
        <w:t>Cependant que le</w:t>
      </w:r>
      <w:r w:rsidR="00B63CF6">
        <w:t xml:space="preserve"> litige continuait, le demandeur n’a rien payé</w:t>
      </w:r>
      <w:r>
        <w:t xml:space="preserve"> aux créanciers hypothécaires de</w:t>
      </w:r>
      <w:r w:rsidR="00B63CF6">
        <w:t xml:space="preserve">puis </w:t>
      </w:r>
      <w:r w:rsidRPr="00233071">
        <w:t>[</w:t>
      </w:r>
      <w:r>
        <w:rPr>
          <w:highlight w:val="yellow"/>
        </w:rPr>
        <w:t>DATE</w:t>
      </w:r>
      <w:r w:rsidRPr="00233071">
        <w:t>]</w:t>
      </w:r>
      <w:r w:rsidR="00B63CF6">
        <w:t xml:space="preserve">.  Le défendeur </w:t>
      </w:r>
      <w:r w:rsidRPr="00233071">
        <w:t>[</w:t>
      </w:r>
      <w:r>
        <w:rPr>
          <w:highlight w:val="yellow"/>
        </w:rPr>
        <w:t>DÉFENDEUR 1</w:t>
      </w:r>
      <w:r w:rsidRPr="00233071">
        <w:t xml:space="preserve">] </w:t>
      </w:r>
      <w:r w:rsidR="00B63CF6">
        <w:t xml:space="preserve">a remis un avis de vente </w:t>
      </w:r>
      <w:r w:rsidRPr="00233071">
        <w:t>[</w:t>
      </w:r>
      <w:r>
        <w:rPr>
          <w:highlight w:val="yellow"/>
        </w:rPr>
        <w:t>DATE</w:t>
      </w:r>
      <w:r w:rsidRPr="00233071">
        <w:t>]</w:t>
      </w:r>
      <w:r w:rsidR="00B63CF6">
        <w:t>.</w:t>
      </w:r>
    </w:p>
    <w:p w14:paraId="479F2941" w14:textId="77777777" w:rsidR="009E2BD5" w:rsidRDefault="00B63CF6">
      <w:pPr>
        <w:spacing w:after="603"/>
        <w:ind w:left="1450" w:right="15"/>
      </w:pPr>
      <w:r>
        <w:t>- Dossier de motion des intimées, l’onglet A-9</w:t>
      </w:r>
    </w:p>
    <w:p w14:paraId="3FFE6E84" w14:textId="77777777" w:rsidR="009E2BD5" w:rsidRDefault="00B63CF6" w:rsidP="00DF67B2">
      <w:pPr>
        <w:numPr>
          <w:ilvl w:val="0"/>
          <w:numId w:val="3"/>
        </w:numPr>
        <w:spacing w:line="482" w:lineRule="auto"/>
        <w:ind w:right="17" w:hanging="720"/>
      </w:pPr>
      <w:r>
        <w:t xml:space="preserve">Les acheteurs, </w:t>
      </w:r>
      <w:r w:rsidR="00DF67B2" w:rsidRPr="00233071">
        <w:t>[</w:t>
      </w:r>
      <w:r w:rsidR="00DF67B2">
        <w:rPr>
          <w:highlight w:val="yellow"/>
        </w:rPr>
        <w:t>DÉFENDEUR 3</w:t>
      </w:r>
      <w:r w:rsidR="00DF67B2" w:rsidRPr="00233071">
        <w:t xml:space="preserve">] </w:t>
      </w:r>
      <w:r>
        <w:t xml:space="preserve">et </w:t>
      </w:r>
      <w:r w:rsidR="00DF67B2" w:rsidRPr="00233071">
        <w:t>[</w:t>
      </w:r>
      <w:r w:rsidR="00DF67B2">
        <w:rPr>
          <w:highlight w:val="yellow"/>
        </w:rPr>
        <w:t>DÉFENDEUR 4</w:t>
      </w:r>
      <w:r w:rsidR="00DF67B2" w:rsidRPr="00233071">
        <w:t>]</w:t>
      </w:r>
      <w:r>
        <w:t>, ont acheté la propriété le 5 décembre</w:t>
      </w:r>
      <w:r w:rsidR="00DF67B2">
        <w:t xml:space="preserve"> </w:t>
      </w:r>
      <w:r>
        <w:t xml:space="preserve">2005.  L’achat fut négocié par des courtiers immobiliers, </w:t>
      </w:r>
      <w:r w:rsidR="00DF67B2" w:rsidRPr="00233071">
        <w:t>[</w:t>
      </w:r>
      <w:proofErr w:type="gramStart"/>
      <w:r w:rsidR="00DF67B2" w:rsidRPr="00233071">
        <w:rPr>
          <w:highlight w:val="yellow"/>
        </w:rPr>
        <w:t>NOM</w:t>
      </w:r>
      <w:r w:rsidR="00DF67B2" w:rsidRPr="00233071">
        <w:t xml:space="preserve">] </w:t>
      </w:r>
      <w:r>
        <w:t xml:space="preserve"> pour</w:t>
      </w:r>
      <w:proofErr w:type="gramEnd"/>
      <w:r>
        <w:t xml:space="preserve"> </w:t>
      </w:r>
      <w:r w:rsidR="00DF67B2" w:rsidRPr="00233071">
        <w:t>[</w:t>
      </w:r>
      <w:r w:rsidR="00DF67B2">
        <w:rPr>
          <w:highlight w:val="yellow"/>
        </w:rPr>
        <w:t>DÉFENDEUR 1</w:t>
      </w:r>
      <w:r w:rsidR="00DF67B2" w:rsidRPr="00233071">
        <w:t>]</w:t>
      </w:r>
      <w:r>
        <w:t xml:space="preserve">, et </w:t>
      </w:r>
      <w:r w:rsidR="00DF67B2" w:rsidRPr="00233071">
        <w:t>[</w:t>
      </w:r>
      <w:r w:rsidR="00DF67B2" w:rsidRPr="00233071">
        <w:rPr>
          <w:highlight w:val="yellow"/>
        </w:rPr>
        <w:t>NOM</w:t>
      </w:r>
      <w:r w:rsidR="00DF67B2" w:rsidRPr="00233071">
        <w:t>]</w:t>
      </w:r>
      <w:r>
        <w:t xml:space="preserve"> pour les acheteurs, et les parties ont été représentés par des avocats indépendants.  Puisque la </w:t>
      </w:r>
      <w:r w:rsidR="00DF67B2" w:rsidRPr="00233071">
        <w:t>[</w:t>
      </w:r>
      <w:r w:rsidR="00DF67B2">
        <w:rPr>
          <w:highlight w:val="yellow"/>
        </w:rPr>
        <w:t>BANQUE</w:t>
      </w:r>
      <w:r w:rsidR="00DF67B2" w:rsidRPr="00233071">
        <w:t xml:space="preserve">] </w:t>
      </w:r>
      <w:r>
        <w:t xml:space="preserve">était aussi le créancier pour les acheteurs, l’avocat du vendeur, </w:t>
      </w:r>
      <w:r w:rsidR="00DF67B2" w:rsidRPr="00233071">
        <w:t>[</w:t>
      </w:r>
      <w:r w:rsidR="00DF67B2">
        <w:rPr>
          <w:highlight w:val="yellow"/>
        </w:rPr>
        <w:t>DÉFENDEUR 1</w:t>
      </w:r>
      <w:r w:rsidR="00DF67B2" w:rsidRPr="00233071">
        <w:t>]</w:t>
      </w:r>
      <w:r>
        <w:t xml:space="preserve">, a pu négocier l’enlèvement du CPL, et il a donné un engagement qu’il </w:t>
      </w:r>
      <w:r w:rsidR="00DF67B2">
        <w:t>obtiendrait</w:t>
      </w:r>
      <w:r>
        <w:t xml:space="preserve"> une ordonnance de mainlevée du CPL.  La conclusion de l’achat, le </w:t>
      </w:r>
      <w:r w:rsidR="00DF67B2" w:rsidRPr="00233071">
        <w:t>[</w:t>
      </w:r>
      <w:r w:rsidR="00DF67B2">
        <w:rPr>
          <w:highlight w:val="yellow"/>
        </w:rPr>
        <w:t>DATE</w:t>
      </w:r>
      <w:r w:rsidR="00DF67B2" w:rsidRPr="00233071">
        <w:t>]</w:t>
      </w:r>
      <w:r>
        <w:t xml:space="preserve">, a été </w:t>
      </w:r>
      <w:r w:rsidR="009F7BCB">
        <w:t>complétée</w:t>
      </w:r>
      <w:r>
        <w:t xml:space="preserve"> sous réserve de cet engagement.</w:t>
      </w:r>
    </w:p>
    <w:p w14:paraId="1EE297DF" w14:textId="77777777" w:rsidR="009E2BD5" w:rsidRDefault="00B63CF6">
      <w:pPr>
        <w:spacing w:after="603"/>
        <w:ind w:left="1450" w:right="15"/>
      </w:pPr>
      <w:r>
        <w:t>- Dossier de motion des intimées, les onglets A-2, A-5 et A-11</w:t>
      </w:r>
    </w:p>
    <w:p w14:paraId="75E8F849" w14:textId="77777777" w:rsidR="009E2BD5" w:rsidRDefault="00B63CF6">
      <w:pPr>
        <w:numPr>
          <w:ilvl w:val="0"/>
          <w:numId w:val="3"/>
        </w:numPr>
        <w:ind w:right="15" w:hanging="720"/>
      </w:pPr>
      <w:r>
        <w:lastRenderedPageBreak/>
        <w:t xml:space="preserve">L’audition de la motion de l’enlèvement du CPL, signifiée par la </w:t>
      </w:r>
      <w:r w:rsidR="00DF67B2" w:rsidRPr="00233071">
        <w:t>[</w:t>
      </w:r>
      <w:r w:rsidR="00DF67B2" w:rsidRPr="00DF67B2">
        <w:rPr>
          <w:highlight w:val="yellow"/>
        </w:rPr>
        <w:t>BANQUE</w:t>
      </w:r>
      <w:r w:rsidR="00DF67B2" w:rsidRPr="00233071">
        <w:t>]</w:t>
      </w:r>
      <w:r>
        <w:t xml:space="preserve">, était devant l’honorable juge </w:t>
      </w:r>
      <w:r w:rsidR="00DF67B2" w:rsidRPr="00233071">
        <w:t>[</w:t>
      </w:r>
      <w:r w:rsidR="00DF67B2" w:rsidRPr="00233071">
        <w:rPr>
          <w:highlight w:val="yellow"/>
        </w:rPr>
        <w:t>NOM</w:t>
      </w:r>
      <w:r w:rsidR="00DF67B2" w:rsidRPr="00233071">
        <w:t>]</w:t>
      </w:r>
      <w:r>
        <w:t xml:space="preserve">, le </w:t>
      </w:r>
      <w:r w:rsidR="00DF67B2" w:rsidRPr="00233071">
        <w:t>[</w:t>
      </w:r>
      <w:r w:rsidR="00DF67B2">
        <w:rPr>
          <w:highlight w:val="yellow"/>
        </w:rPr>
        <w:t>DATE</w:t>
      </w:r>
      <w:r w:rsidR="00DF67B2" w:rsidRPr="00233071">
        <w:t>]</w:t>
      </w:r>
      <w:r>
        <w:t xml:space="preserve">.  L’ordonnance de l’enlèvement a été inscrite avec le consentement de </w:t>
      </w:r>
      <w:r w:rsidR="00DF67B2" w:rsidRPr="00233071">
        <w:t>[</w:t>
      </w:r>
      <w:r w:rsidR="00DF67B2">
        <w:rPr>
          <w:highlight w:val="yellow"/>
        </w:rPr>
        <w:t>DÉFENDEUR 1</w:t>
      </w:r>
      <w:r w:rsidR="00DF67B2" w:rsidRPr="00233071">
        <w:t>]</w:t>
      </w:r>
      <w:r>
        <w:t xml:space="preserve">, du </w:t>
      </w:r>
      <w:r w:rsidR="00DF67B2" w:rsidRPr="00233071">
        <w:t>[</w:t>
      </w:r>
      <w:r w:rsidR="00DF67B2">
        <w:rPr>
          <w:highlight w:val="yellow"/>
        </w:rPr>
        <w:t>BANQUE</w:t>
      </w:r>
      <w:r w:rsidR="00DF67B2" w:rsidRPr="00233071">
        <w:t>]</w:t>
      </w:r>
      <w:r>
        <w:t xml:space="preserve">, et aussi de </w:t>
      </w:r>
      <w:r w:rsidR="00DF67B2" w:rsidRPr="00233071">
        <w:t>[</w:t>
      </w:r>
      <w:r w:rsidR="00DF67B2">
        <w:rPr>
          <w:highlight w:val="yellow"/>
        </w:rPr>
        <w:t>DEMANDEUR</w:t>
      </w:r>
      <w:r w:rsidR="00DF67B2" w:rsidRPr="00233071">
        <w:t>]</w:t>
      </w:r>
      <w:r>
        <w:t>.</w:t>
      </w:r>
    </w:p>
    <w:p w14:paraId="058A0428" w14:textId="77777777" w:rsidR="009E2BD5" w:rsidRDefault="00B63CF6">
      <w:pPr>
        <w:spacing w:after="603"/>
        <w:ind w:left="1450" w:right="15"/>
      </w:pPr>
      <w:r>
        <w:t>- Dossier de motion des intimées, l’onglet A-6</w:t>
      </w:r>
    </w:p>
    <w:p w14:paraId="1ACE1AEC" w14:textId="77777777" w:rsidR="009E2BD5" w:rsidRDefault="00B63CF6">
      <w:pPr>
        <w:numPr>
          <w:ilvl w:val="0"/>
          <w:numId w:val="3"/>
        </w:numPr>
        <w:ind w:right="15" w:hanging="720"/>
      </w:pPr>
      <w:r>
        <w:t xml:space="preserve">Dans la même audition, M. </w:t>
      </w:r>
      <w:r w:rsidR="00DF67B2" w:rsidRPr="00233071">
        <w:t>[</w:t>
      </w:r>
      <w:r w:rsidR="00DF67B2">
        <w:rPr>
          <w:highlight w:val="yellow"/>
        </w:rPr>
        <w:t>DEMANDEUR</w:t>
      </w:r>
      <w:r w:rsidR="00DF67B2" w:rsidRPr="00233071">
        <w:t xml:space="preserve">] </w:t>
      </w:r>
      <w:r>
        <w:t xml:space="preserve">a demandé que la cour ordonne à </w:t>
      </w:r>
      <w:r w:rsidR="00DF67B2" w:rsidRPr="00233071">
        <w:t>[</w:t>
      </w:r>
      <w:r w:rsidR="00DF67B2">
        <w:rPr>
          <w:highlight w:val="yellow"/>
        </w:rPr>
        <w:t>DÉFENDEUR 1</w:t>
      </w:r>
      <w:r w:rsidR="00DF67B2" w:rsidRPr="00233071">
        <w:t xml:space="preserve">] </w:t>
      </w:r>
      <w:r>
        <w:t xml:space="preserve">qu’il rende compte pour les reçus de la vente, et pour la restitution de la propriété.  Ces motions ont été rejetées, ultimement parce que les acheteurs n’avaient pas été signifiés avec son avis de motion, mais aussi parce que, selon le juge </w:t>
      </w:r>
      <w:r w:rsidR="00DF67B2" w:rsidRPr="00233071">
        <w:t>[</w:t>
      </w:r>
      <w:r w:rsidR="00DF67B2" w:rsidRPr="00233071">
        <w:rPr>
          <w:highlight w:val="yellow"/>
        </w:rPr>
        <w:t>NOM</w:t>
      </w:r>
      <w:r w:rsidR="00DF67B2" w:rsidRPr="00233071">
        <w:t>]</w:t>
      </w:r>
      <w:r w:rsidR="00DF67B2">
        <w:t xml:space="preserve"> </w:t>
      </w:r>
      <w:r>
        <w:t>:</w:t>
      </w:r>
    </w:p>
    <w:p w14:paraId="6FEB7F89" w14:textId="77777777" w:rsidR="009E2BD5" w:rsidRDefault="00B63CF6" w:rsidP="00DF67B2">
      <w:pPr>
        <w:spacing w:after="120" w:line="240" w:lineRule="auto"/>
        <w:ind w:left="2171" w:right="1469" w:hanging="11"/>
      </w:pPr>
      <w:r>
        <w:t xml:space="preserve">“Il apparaît que Monsieur </w:t>
      </w:r>
      <w:r w:rsidR="00DF67B2" w:rsidRPr="00233071">
        <w:t>[</w:t>
      </w:r>
      <w:r w:rsidR="00DF67B2">
        <w:rPr>
          <w:highlight w:val="yellow"/>
        </w:rPr>
        <w:t>DÉFENDEUR 1</w:t>
      </w:r>
      <w:r w:rsidR="00DF67B2" w:rsidRPr="00233071">
        <w:t>]</w:t>
      </w:r>
      <w:r>
        <w:t>, créancier hypothécaire, a vendu la propriété en conformité avec les dispositions de la loi sur les hypothèques.”</w:t>
      </w:r>
    </w:p>
    <w:p w14:paraId="3888A6A0" w14:textId="77777777" w:rsidR="00DF67B2" w:rsidRDefault="00DF67B2" w:rsidP="00DF67B2">
      <w:pPr>
        <w:spacing w:after="120" w:line="240" w:lineRule="auto"/>
        <w:ind w:left="2171" w:right="1469" w:hanging="11"/>
      </w:pPr>
    </w:p>
    <w:p w14:paraId="6D6D2BB4" w14:textId="77777777" w:rsidR="009E2BD5" w:rsidRDefault="00B63CF6">
      <w:pPr>
        <w:spacing w:after="602"/>
        <w:ind w:left="1450" w:right="15"/>
      </w:pPr>
      <w:r>
        <w:t>- Dossier de motion des intimées, l’onglet E, à la page 122</w:t>
      </w:r>
    </w:p>
    <w:p w14:paraId="10328198" w14:textId="77777777" w:rsidR="009E2BD5" w:rsidRDefault="00B63CF6" w:rsidP="00DF67B2">
      <w:pPr>
        <w:numPr>
          <w:ilvl w:val="0"/>
          <w:numId w:val="3"/>
        </w:numPr>
        <w:spacing w:after="120" w:line="482" w:lineRule="auto"/>
        <w:ind w:right="17" w:hanging="720"/>
      </w:pPr>
      <w:r>
        <w:t xml:space="preserve">M. </w:t>
      </w:r>
      <w:r w:rsidR="00DF67B2" w:rsidRPr="00233071">
        <w:t>[</w:t>
      </w:r>
      <w:r w:rsidR="00DF67B2">
        <w:rPr>
          <w:highlight w:val="yellow"/>
        </w:rPr>
        <w:t>DEMANDEUR</w:t>
      </w:r>
      <w:r w:rsidR="00DF67B2" w:rsidRPr="00233071">
        <w:t xml:space="preserve">] </w:t>
      </w:r>
      <w:r>
        <w:t xml:space="preserve">a appelé la décision du juge </w:t>
      </w:r>
      <w:r w:rsidR="00DF67B2" w:rsidRPr="00233071">
        <w:t>[</w:t>
      </w:r>
      <w:r w:rsidR="00DF67B2" w:rsidRPr="00233071">
        <w:rPr>
          <w:highlight w:val="yellow"/>
        </w:rPr>
        <w:t>NOM</w:t>
      </w:r>
      <w:r w:rsidR="00DF67B2" w:rsidRPr="00233071">
        <w:t xml:space="preserve">] </w:t>
      </w:r>
      <w:r>
        <w:t xml:space="preserve">au Cour d’Appel de l’Ontario, dans </w:t>
      </w:r>
      <w:r w:rsidR="00DF67B2" w:rsidRPr="00233071">
        <w:t>[</w:t>
      </w:r>
      <w:r w:rsidR="00DF67B2">
        <w:rPr>
          <w:highlight w:val="yellow"/>
        </w:rPr>
        <w:t>BANQUE</w:t>
      </w:r>
      <w:r w:rsidR="00DF67B2" w:rsidRPr="00233071">
        <w:t xml:space="preserve">] </w:t>
      </w:r>
      <w:r>
        <w:rPr>
          <w:i/>
        </w:rPr>
        <w:t xml:space="preserve">c. </w:t>
      </w:r>
      <w:r w:rsidR="00DF67B2" w:rsidRPr="00233071">
        <w:t>[</w:t>
      </w:r>
      <w:r w:rsidR="00DF67B2">
        <w:rPr>
          <w:highlight w:val="yellow"/>
        </w:rPr>
        <w:t>DEMANDEUR</w:t>
      </w:r>
      <w:r w:rsidR="00DF67B2" w:rsidRPr="00233071">
        <w:t>]</w:t>
      </w:r>
      <w:r>
        <w:t xml:space="preserve">, Cour d’Appel de l’Ontario </w:t>
      </w:r>
      <w:r w:rsidR="00DF67B2" w:rsidRPr="00233071">
        <w:t>[</w:t>
      </w:r>
      <w:r w:rsidR="00DF67B2">
        <w:rPr>
          <w:highlight w:val="yellow"/>
        </w:rPr>
        <w:t>#</w:t>
      </w:r>
      <w:r w:rsidR="00DF67B2" w:rsidRPr="00233071">
        <w:t>]</w:t>
      </w:r>
      <w:r>
        <w:t>,</w:t>
      </w:r>
      <w:r w:rsidR="00DF67B2">
        <w:t xml:space="preserve"> </w:t>
      </w:r>
      <w:r w:rsidR="00DF67B2" w:rsidRPr="00233071">
        <w:t>[</w:t>
      </w:r>
      <w:r w:rsidR="00DF67B2">
        <w:rPr>
          <w:highlight w:val="yellow"/>
        </w:rPr>
        <w:t>DATE</w:t>
      </w:r>
      <w:r w:rsidR="00DF67B2" w:rsidRPr="00233071">
        <w:t>]</w:t>
      </w:r>
      <w:r>
        <w:t>.  L’appel a été rejeté parce que la cour a conclu que, ou les acheteurs auraient dû être signifiés avec l’avis de motion, ou le appelant devait commencer un</w:t>
      </w:r>
      <w:r w:rsidR="00DF67B2">
        <w:t>e</w:t>
      </w:r>
      <w:r>
        <w:t xml:space="preserve"> nouvel</w:t>
      </w:r>
      <w:r w:rsidR="00DF67B2">
        <w:t>le</w:t>
      </w:r>
      <w:r>
        <w:t xml:space="preserve"> action.</w:t>
      </w:r>
    </w:p>
    <w:p w14:paraId="7CA25897" w14:textId="77777777" w:rsidR="009E2BD5" w:rsidRDefault="00B63CF6">
      <w:pPr>
        <w:spacing w:after="603"/>
        <w:ind w:left="1450" w:right="15"/>
      </w:pPr>
      <w:r>
        <w:t>- Dossier de motion des intimées, l’onglet F</w:t>
      </w:r>
    </w:p>
    <w:p w14:paraId="7B2D97C8" w14:textId="77777777" w:rsidR="009E2BD5" w:rsidRDefault="00B63CF6">
      <w:pPr>
        <w:numPr>
          <w:ilvl w:val="0"/>
          <w:numId w:val="3"/>
        </w:numPr>
        <w:ind w:right="15" w:hanging="720"/>
      </w:pPr>
      <w:r>
        <w:t xml:space="preserve">Ce qui a mené </w:t>
      </w:r>
      <w:r w:rsidR="00DF67B2">
        <w:t>à</w:t>
      </w:r>
      <w:r>
        <w:t xml:space="preserve"> cette instance-ci, où le demandeur poursuit le vendeur, l’autre créancier </w:t>
      </w:r>
      <w:r w:rsidR="00DF67B2">
        <w:t>hypothécaire</w:t>
      </w:r>
      <w:r>
        <w:t>, et les acheteurs.</w:t>
      </w:r>
    </w:p>
    <w:p w14:paraId="1F24C879" w14:textId="77777777" w:rsidR="009E2BD5" w:rsidRDefault="00B63CF6">
      <w:pPr>
        <w:pStyle w:val="Titre1"/>
        <w:ind w:left="-5"/>
      </w:pPr>
      <w:r>
        <w:lastRenderedPageBreak/>
        <w:t>PARTIE TROIS - LA POURSUITE CONTRE LES ACHETEURS</w:t>
      </w:r>
    </w:p>
    <w:p w14:paraId="612B8453" w14:textId="77777777" w:rsidR="009E2BD5" w:rsidRDefault="00B63CF6">
      <w:pPr>
        <w:numPr>
          <w:ilvl w:val="0"/>
          <w:numId w:val="5"/>
        </w:numPr>
        <w:ind w:right="15" w:hanging="720"/>
      </w:pPr>
      <w:r>
        <w:t xml:space="preserve">La poursuite contre les </w:t>
      </w:r>
      <w:r w:rsidR="00DF67B2">
        <w:t>défendeurs</w:t>
      </w:r>
      <w:r>
        <w:t xml:space="preserve"> </w:t>
      </w:r>
      <w:r w:rsidR="00DF67B2" w:rsidRPr="00233071">
        <w:t>[</w:t>
      </w:r>
      <w:r w:rsidR="00DF67B2">
        <w:rPr>
          <w:highlight w:val="yellow"/>
        </w:rPr>
        <w:t>DÉFENDEUR 3</w:t>
      </w:r>
      <w:r w:rsidR="00DF67B2" w:rsidRPr="00233071">
        <w:t xml:space="preserve">] </w:t>
      </w:r>
      <w:r>
        <w:t xml:space="preserve">et </w:t>
      </w:r>
      <w:r w:rsidR="00DF67B2" w:rsidRPr="00233071">
        <w:t>[</w:t>
      </w:r>
      <w:r w:rsidR="00DF67B2">
        <w:rPr>
          <w:highlight w:val="yellow"/>
        </w:rPr>
        <w:t>DÉFENDEUR 4</w:t>
      </w:r>
      <w:r w:rsidR="00DF67B2" w:rsidRPr="00233071">
        <w:t xml:space="preserve">] </w:t>
      </w:r>
      <w:r>
        <w:t>paraît dans les paragraphes 27-31 de la déclaration du demandeur.</w:t>
      </w:r>
    </w:p>
    <w:p w14:paraId="5D805119" w14:textId="77777777" w:rsidR="009E2BD5" w:rsidRDefault="00B63CF6">
      <w:pPr>
        <w:numPr>
          <w:ilvl w:val="1"/>
          <w:numId w:val="5"/>
        </w:numPr>
        <w:spacing w:after="603"/>
        <w:ind w:right="15" w:hanging="148"/>
      </w:pPr>
      <w:r>
        <w:t>Dossier de motion des intimées, l’onglet B, aux pages 7-8</w:t>
      </w:r>
    </w:p>
    <w:p w14:paraId="1EB409F8" w14:textId="77777777" w:rsidR="009E2BD5" w:rsidRDefault="00B63CF6">
      <w:pPr>
        <w:numPr>
          <w:ilvl w:val="0"/>
          <w:numId w:val="5"/>
        </w:numPr>
        <w:spacing w:after="569"/>
        <w:ind w:right="15" w:hanging="720"/>
      </w:pPr>
      <w:r>
        <w:t xml:space="preserve">Au paragraphe 27, le demandeur dit que les acheteurs savaient que l’hypothèque de </w:t>
      </w:r>
      <w:r w:rsidR="00DF67B2" w:rsidRPr="00233071">
        <w:t>[</w:t>
      </w:r>
      <w:r w:rsidR="00DF67B2">
        <w:rPr>
          <w:highlight w:val="yellow"/>
        </w:rPr>
        <w:t>DÉFENDEUR 1</w:t>
      </w:r>
      <w:r w:rsidR="00DF67B2" w:rsidRPr="00233071">
        <w:t xml:space="preserve">] </w:t>
      </w:r>
      <w:r>
        <w:t xml:space="preserve">n’était que de </w:t>
      </w:r>
      <w:r w:rsidR="00DF67B2" w:rsidRPr="00233071">
        <w:t>[</w:t>
      </w:r>
      <w:r w:rsidR="00DF67B2">
        <w:rPr>
          <w:highlight w:val="yellow"/>
        </w:rPr>
        <w:t>SOMME</w:t>
      </w:r>
      <w:r w:rsidR="00DF67B2" w:rsidRPr="00233071">
        <w:t>]</w:t>
      </w:r>
      <w:r>
        <w:t>, et que la vente serait inéquitable.  Il dit aussi que l’autorisation du tribunal était requise de vendre la maison.</w:t>
      </w:r>
    </w:p>
    <w:p w14:paraId="7BEF396B" w14:textId="77777777" w:rsidR="009E2BD5" w:rsidRDefault="00B63CF6">
      <w:pPr>
        <w:numPr>
          <w:ilvl w:val="0"/>
          <w:numId w:val="5"/>
        </w:numPr>
        <w:ind w:right="15" w:hanging="720"/>
      </w:pPr>
      <w:r>
        <w:t xml:space="preserve">(Ceci était sa position devant le juge </w:t>
      </w:r>
      <w:r w:rsidR="00DF67B2" w:rsidRPr="00233071">
        <w:t>[</w:t>
      </w:r>
      <w:r w:rsidR="00DF67B2" w:rsidRPr="00233071">
        <w:rPr>
          <w:highlight w:val="yellow"/>
        </w:rPr>
        <w:t>NOM</w:t>
      </w:r>
      <w:r w:rsidR="00DF67B2" w:rsidRPr="00233071">
        <w:t>]</w:t>
      </w:r>
      <w:r>
        <w:t>, que le pouvoir de vente était terminée lors de l’expiration du terme de l’hypothèque, et que le créancier devait le poursuivre devant la cour.)</w:t>
      </w:r>
    </w:p>
    <w:p w14:paraId="237AC545" w14:textId="77777777" w:rsidR="009E2BD5" w:rsidRDefault="00B63CF6">
      <w:pPr>
        <w:numPr>
          <w:ilvl w:val="1"/>
          <w:numId w:val="5"/>
        </w:numPr>
        <w:spacing w:after="603"/>
        <w:ind w:right="15" w:hanging="148"/>
      </w:pPr>
      <w:r>
        <w:t>Dossier de motion des intimées, l’onglet E, aux pages 107-22</w:t>
      </w:r>
    </w:p>
    <w:p w14:paraId="37EEA43C" w14:textId="77777777" w:rsidR="009E2BD5" w:rsidRDefault="00B63CF6">
      <w:pPr>
        <w:numPr>
          <w:ilvl w:val="0"/>
          <w:numId w:val="5"/>
        </w:numPr>
        <w:spacing w:after="555"/>
        <w:ind w:right="15" w:hanging="720"/>
      </w:pPr>
      <w:r>
        <w:t>Au</w:t>
      </w:r>
      <w:r w:rsidR="00DF67B2">
        <w:t>x</w:t>
      </w:r>
      <w:r>
        <w:t xml:space="preserve"> paragraphes 28-31, le demandeur dit que les acheteurs savaient que le CPL était enregistré sur le titre, et qu’elles sont censées comprendre que personne ne peut abandonner sa propriété pour </w:t>
      </w:r>
      <w:r w:rsidRPr="00233071">
        <w:t>[</w:t>
      </w:r>
      <w:r w:rsidRPr="00B63CF6">
        <w:rPr>
          <w:highlight w:val="yellow"/>
        </w:rPr>
        <w:t>SOMME</w:t>
      </w:r>
      <w:r w:rsidRPr="00233071">
        <w:t xml:space="preserve">] </w:t>
      </w:r>
      <w:r>
        <w:t>sans demander le droit de rachat.  Selon le demandeur, les acheteurs savaient que le demandeur voulait racheter la propriété.</w:t>
      </w:r>
    </w:p>
    <w:p w14:paraId="591F662A" w14:textId="77777777" w:rsidR="009E2BD5" w:rsidRDefault="00B63CF6">
      <w:pPr>
        <w:pStyle w:val="Titre1"/>
        <w:ind w:left="-5"/>
      </w:pPr>
      <w:r>
        <w:t>La position de ces intimées</w:t>
      </w:r>
    </w:p>
    <w:p w14:paraId="249F4754" w14:textId="77777777" w:rsidR="009E2BD5" w:rsidRDefault="00B63CF6" w:rsidP="00B63CF6">
      <w:pPr>
        <w:numPr>
          <w:ilvl w:val="0"/>
          <w:numId w:val="6"/>
        </w:numPr>
        <w:ind w:right="15" w:hanging="720"/>
      </w:pPr>
      <w:r>
        <w:t xml:space="preserve">Le demandeur ne suggère pas que les acheteurs ont perpétré une fraude, seulement qu’elles auraient dû être préavises de l’intérêt du demandeur de racheter la propriété.  Avec déférence au demandeur, la preuve </w:t>
      </w:r>
      <w:r>
        <w:lastRenderedPageBreak/>
        <w:t>n’établit que le fait que les acheteurs savaient que le vendeur était un créancier hypothécaire.  Il aurait dû être évident qu’un propriétaire a perdu la propriété à cause de son défaut de paiement.</w:t>
      </w:r>
    </w:p>
    <w:p w14:paraId="0D8034D7" w14:textId="77777777" w:rsidR="00B63CF6" w:rsidRDefault="00B63CF6" w:rsidP="00B63CF6">
      <w:pPr>
        <w:ind w:left="720" w:right="15" w:firstLine="0"/>
      </w:pPr>
    </w:p>
    <w:p w14:paraId="0A77CEFC" w14:textId="77777777" w:rsidR="009E2BD5" w:rsidRDefault="00B63CF6">
      <w:pPr>
        <w:numPr>
          <w:ilvl w:val="0"/>
          <w:numId w:val="6"/>
        </w:numPr>
        <w:ind w:right="15" w:hanging="720"/>
      </w:pPr>
      <w:r>
        <w:t xml:space="preserve">Selon le sous-article 103(7) de la </w:t>
      </w:r>
      <w:r>
        <w:rPr>
          <w:i/>
        </w:rPr>
        <w:t xml:space="preserve">Loi sur les tribunaux judiciaires, </w:t>
      </w:r>
      <w:r>
        <w:t>en cas de radiation d'un certificat, quiconque peut effectuer toutes les opérations portant sur le bien-fonds qu'il aurait pu effectuer si le certificat n'avait pas été enregistré.</w:t>
      </w:r>
    </w:p>
    <w:p w14:paraId="314C59D6" w14:textId="77777777" w:rsidR="009E2BD5" w:rsidRDefault="00B63CF6">
      <w:pPr>
        <w:spacing w:after="570" w:line="242" w:lineRule="auto"/>
        <w:ind w:left="1450" w:right="15"/>
      </w:pPr>
      <w:r>
        <w:t xml:space="preserve">- </w:t>
      </w:r>
      <w:r>
        <w:rPr>
          <w:i/>
        </w:rPr>
        <w:t>Loi sur les tribunaux judiciaires</w:t>
      </w:r>
      <w:r>
        <w:t>, L.R.O. 1990, chap. C.43, art. 103(7).</w:t>
      </w:r>
    </w:p>
    <w:p w14:paraId="591F3ABC" w14:textId="77777777" w:rsidR="009E2BD5" w:rsidRDefault="00B63CF6">
      <w:pPr>
        <w:numPr>
          <w:ilvl w:val="0"/>
          <w:numId w:val="6"/>
        </w:numPr>
        <w:spacing w:after="567"/>
        <w:ind w:right="15" w:hanging="720"/>
      </w:pPr>
      <w:r>
        <w:t>Puisque la propriété fut vendue sans avis d’une instance judiciaire, le vendeur était libre de vendre la propriété aux acheteurs.</w:t>
      </w:r>
    </w:p>
    <w:p w14:paraId="1E1D2FE4" w14:textId="77777777" w:rsidR="009E2BD5" w:rsidRDefault="00B63CF6">
      <w:pPr>
        <w:numPr>
          <w:ilvl w:val="0"/>
          <w:numId w:val="6"/>
        </w:numPr>
        <w:spacing w:after="555"/>
        <w:ind w:right="15" w:hanging="720"/>
      </w:pPr>
      <w:r>
        <w:t>La preuve montre bien que les acheteurs savaient que la propriété avait été offerte sou</w:t>
      </w:r>
      <w:r w:rsidR="000307BF">
        <w:t>s pouvoir de vente.  Ce fait n</w:t>
      </w:r>
      <w:r w:rsidR="00AA3DB6">
        <w:t>’</w:t>
      </w:r>
      <w:proofErr w:type="spellStart"/>
      <w:r w:rsidR="00AA3DB6">
        <w:t>e</w:t>
      </w:r>
      <w:r>
        <w:t>st</w:t>
      </w:r>
      <w:proofErr w:type="spellEnd"/>
      <w:r>
        <w:t xml:space="preserve"> aucun motif pour contester le contrat d’achat-ventre, ou la transmission du titre aux acheteurs.  Ce qui est important, c’est que la propriété a été vendue en conformi</w:t>
      </w:r>
      <w:r w:rsidR="00AA3DB6">
        <w:t xml:space="preserve">té avec les dispositions de la </w:t>
      </w:r>
      <w:r w:rsidR="00AA3DB6" w:rsidRPr="00AA3DB6">
        <w:rPr>
          <w:i/>
        </w:rPr>
        <w:t>L</w:t>
      </w:r>
      <w:r w:rsidRPr="00AA3DB6">
        <w:rPr>
          <w:i/>
        </w:rPr>
        <w:t>oi sur les hypothèques</w:t>
      </w:r>
      <w:r>
        <w:t>.</w:t>
      </w:r>
    </w:p>
    <w:p w14:paraId="60C2FF64" w14:textId="77777777" w:rsidR="009E2BD5" w:rsidRDefault="00B63CF6">
      <w:pPr>
        <w:pStyle w:val="Titre1"/>
        <w:ind w:left="-5"/>
      </w:pPr>
      <w:r>
        <w:t>Pouvoir de vente</w:t>
      </w:r>
    </w:p>
    <w:p w14:paraId="33CC76B2" w14:textId="77777777" w:rsidR="009E2BD5" w:rsidRDefault="00B63CF6">
      <w:pPr>
        <w:numPr>
          <w:ilvl w:val="0"/>
          <w:numId w:val="7"/>
        </w:numPr>
        <w:ind w:right="15" w:hanging="720"/>
      </w:pPr>
      <w:r>
        <w:t>Le pouvoir de vente n’est pas annulé parce que le terme de l’hypothèque est terminé.  Au contraire, le droit provient du fait que le terme est terminé et que le débiteur n’a pas payé le montant qui est dû:</w:t>
      </w:r>
    </w:p>
    <w:p w14:paraId="45F25C90" w14:textId="77777777" w:rsidR="009E2BD5" w:rsidRDefault="00B63CF6">
      <w:pPr>
        <w:spacing w:after="244" w:line="259" w:lineRule="auto"/>
        <w:ind w:left="1435" w:right="0"/>
      </w:pPr>
      <w:r>
        <w:rPr>
          <w:rFonts w:ascii="Times New Roman" w:eastAsia="Times New Roman" w:hAnsi="Times New Roman" w:cs="Times New Roman"/>
          <w:i/>
          <w:sz w:val="22"/>
        </w:rPr>
        <w:t>Pouvoirs exercés à la suite d’un défaut</w:t>
      </w:r>
    </w:p>
    <w:p w14:paraId="7DD5C83D" w14:textId="77777777" w:rsidR="009E2BD5" w:rsidRDefault="00B63CF6">
      <w:pPr>
        <w:spacing w:after="259" w:line="244" w:lineRule="auto"/>
        <w:ind w:left="1435" w:right="691"/>
      </w:pPr>
      <w:r>
        <w:rPr>
          <w:rFonts w:ascii="Times New Roman" w:eastAsia="Times New Roman" w:hAnsi="Times New Roman" w:cs="Times New Roman"/>
          <w:sz w:val="22"/>
        </w:rPr>
        <w:t xml:space="preserve">      24. Le créancier hypothécaire d’une hypothèque qui grève un bien-fonds et qui garantit une somme en principal jouit des pouvoirs suivants, </w:t>
      </w:r>
      <w:r>
        <w:rPr>
          <w:rFonts w:ascii="Times New Roman" w:eastAsia="Times New Roman" w:hAnsi="Times New Roman" w:cs="Times New Roman"/>
          <w:sz w:val="22"/>
        </w:rPr>
        <w:lastRenderedPageBreak/>
        <w:t>comme s’ils étaient conférés par l’hypothèque, à la fin des trois mois qui suivent le défaut du débiteur hypothécaire d’acquitter un versement des sommes d’argent échues en vertu de l’hypothèque ou à n’importe quel moment qui suit le défaut du débiteur hypothécaire de payer une prime d’assurance qu’il est tenu de payer en vertu de l’hypothèque :</w:t>
      </w:r>
    </w:p>
    <w:p w14:paraId="0D6FDAC1" w14:textId="77777777" w:rsidR="009E2BD5" w:rsidRDefault="00B63CF6">
      <w:pPr>
        <w:spacing w:after="244" w:line="259" w:lineRule="auto"/>
        <w:ind w:left="1435" w:right="0"/>
      </w:pPr>
      <w:r>
        <w:rPr>
          <w:rFonts w:ascii="Times New Roman" w:eastAsia="Times New Roman" w:hAnsi="Times New Roman" w:cs="Times New Roman"/>
          <w:i/>
          <w:sz w:val="22"/>
        </w:rPr>
        <w:t>Pouvoir de vente</w:t>
      </w:r>
    </w:p>
    <w:p w14:paraId="1727C4B4" w14:textId="77777777" w:rsidR="009E2BD5" w:rsidRDefault="00B63CF6">
      <w:pPr>
        <w:spacing w:after="569" w:line="244" w:lineRule="auto"/>
        <w:ind w:left="1435" w:right="691"/>
      </w:pPr>
      <w:r>
        <w:rPr>
          <w:rFonts w:ascii="Times New Roman" w:eastAsia="Times New Roman" w:hAnsi="Times New Roman" w:cs="Times New Roman"/>
          <w:sz w:val="22"/>
        </w:rPr>
        <w:t xml:space="preserve">           1.    Le pouvoir de vendre ou d’agir avec une autre personne en vue de la vente à l’enchère ou de gré à gré de tout ou partie de la propriété hypothéquée, sous réserve des conditions raisonnables que le créancier hypothécaire impose, le pouvoir d’acheter lors d’une vente à l’enchère, de résoudre ou de modifier un contrat de vente, ou d’effectuer la revente du bien-fonds à n’importe quel moment et de la même façon que pour la vente sans être tenu des pertes qui s’ensuivent.</w:t>
      </w:r>
    </w:p>
    <w:p w14:paraId="6BB1F5C5" w14:textId="77777777" w:rsidR="009E2BD5" w:rsidRDefault="00B63CF6">
      <w:pPr>
        <w:spacing w:after="607"/>
        <w:ind w:left="1450" w:right="15"/>
      </w:pPr>
      <w:r>
        <w:t xml:space="preserve">- </w:t>
      </w:r>
      <w:r>
        <w:rPr>
          <w:i/>
        </w:rPr>
        <w:t xml:space="preserve">Loi sur les hypothèques, </w:t>
      </w:r>
      <w:r>
        <w:t>L.R.O. 1990, c. M.40, s. 24</w:t>
      </w:r>
    </w:p>
    <w:p w14:paraId="252E723E" w14:textId="77777777" w:rsidR="009E2BD5" w:rsidRDefault="00B63CF6">
      <w:pPr>
        <w:numPr>
          <w:ilvl w:val="0"/>
          <w:numId w:val="7"/>
        </w:numPr>
        <w:spacing w:after="1107"/>
        <w:ind w:right="15" w:hanging="720"/>
      </w:pPr>
      <w:r>
        <w:t>De toute façon, le demandeur n’a aucun motif pour cette motion.  Surtout, le demandeur poursuit à rompre, d’une façon sommaire, le statu quo et rendre sans abri les acheteurs et les propriétaires innocents.</w:t>
      </w:r>
    </w:p>
    <w:p w14:paraId="01E168C1" w14:textId="77777777" w:rsidR="009E2BD5" w:rsidRDefault="00B63CF6">
      <w:pPr>
        <w:pStyle w:val="Titre1"/>
        <w:ind w:left="-5"/>
      </w:pPr>
      <w:r>
        <w:t>PARTIE QUATRE  -  ORDONNANCE(S) DEMANDÉ(S)</w:t>
      </w:r>
    </w:p>
    <w:p w14:paraId="3F7C5861" w14:textId="77777777" w:rsidR="009E2BD5" w:rsidRDefault="00B63CF6">
      <w:pPr>
        <w:numPr>
          <w:ilvl w:val="0"/>
          <w:numId w:val="8"/>
        </w:numPr>
        <w:spacing w:after="569"/>
        <w:ind w:right="15" w:hanging="720"/>
      </w:pPr>
      <w:r>
        <w:t xml:space="preserve">Ainsi les intimées, </w:t>
      </w:r>
      <w:r w:rsidRPr="00233071">
        <w:t>[</w:t>
      </w:r>
      <w:r>
        <w:rPr>
          <w:highlight w:val="yellow"/>
        </w:rPr>
        <w:t>DÉFENDEUR 3</w:t>
      </w:r>
      <w:r w:rsidRPr="00233071">
        <w:t xml:space="preserve">] </w:t>
      </w:r>
      <w:r>
        <w:t xml:space="preserve">et </w:t>
      </w:r>
      <w:r w:rsidRPr="00233071">
        <w:t>[</w:t>
      </w:r>
      <w:r>
        <w:t>DÉFENDEUR 4</w:t>
      </w:r>
      <w:r w:rsidRPr="00233071">
        <w:t>]</w:t>
      </w:r>
      <w:r>
        <w:t>, demande respectueusement que la motion soit rejetée avec dépens selon la règle 20.06, de cette motion et de la motion dans la cour divisionnaire.</w:t>
      </w:r>
    </w:p>
    <w:p w14:paraId="205757C9" w14:textId="77777777" w:rsidR="009E2BD5" w:rsidRDefault="00B63CF6" w:rsidP="00AA3DB6">
      <w:pPr>
        <w:numPr>
          <w:ilvl w:val="0"/>
          <w:numId w:val="8"/>
        </w:numPr>
        <w:ind w:right="15" w:hanging="720"/>
      </w:pPr>
      <w:r>
        <w:t>Elles demandent aussi une ordonnance que, conformément à la règle 37.16, le demandeur soit interdit de présenter d'autres motions dans l'instance sans autorisation de la cour.  Alternativement, une ordonnance</w:t>
      </w:r>
      <w:r w:rsidR="00AA3DB6">
        <w:t xml:space="preserve"> </w:t>
      </w:r>
      <w:r>
        <w:t xml:space="preserve">selon la règle 78.12(3) et l’article 19 de la Practice Direction de 31 </w:t>
      </w:r>
      <w:r>
        <w:lastRenderedPageBreak/>
        <w:t>décembre 2004, ainsi de protéger les défendeurs contre les motions frivoles ou vexatoires.</w:t>
      </w:r>
    </w:p>
    <w:p w14:paraId="51CF7CA1" w14:textId="77777777" w:rsidR="009E2BD5" w:rsidRDefault="00B63CF6">
      <w:pPr>
        <w:spacing w:after="1409" w:line="265" w:lineRule="auto"/>
        <w:ind w:right="553"/>
        <w:jc w:val="right"/>
      </w:pPr>
      <w:r>
        <w:t xml:space="preserve">CE QUI est très respectueusement soumis, le </w:t>
      </w:r>
      <w:r w:rsidRPr="00233071">
        <w:t>[</w:t>
      </w:r>
      <w:r>
        <w:rPr>
          <w:highlight w:val="yellow"/>
        </w:rPr>
        <w:t>DATE</w:t>
      </w:r>
      <w:r w:rsidRPr="00233071">
        <w:t>]</w:t>
      </w:r>
      <w:r>
        <w:t>, par:</w:t>
      </w:r>
    </w:p>
    <w:p w14:paraId="1FED18B0" w14:textId="77777777" w:rsidR="009E2BD5" w:rsidRDefault="00B63CF6">
      <w:pPr>
        <w:tabs>
          <w:tab w:val="right" w:pos="8641"/>
        </w:tabs>
        <w:spacing w:after="276" w:line="259" w:lineRule="auto"/>
        <w:ind w:left="0" w:right="0" w:firstLine="0"/>
      </w:pPr>
      <w:r>
        <w:rPr>
          <w:b/>
        </w:rPr>
        <w:t xml:space="preserve">    </w:t>
      </w:r>
      <w:r>
        <w:rPr>
          <w:b/>
        </w:rPr>
        <w:tab/>
      </w:r>
      <w:r>
        <w:rPr>
          <w:rFonts w:ascii="Calibri" w:eastAsia="Calibri" w:hAnsi="Calibri" w:cs="Calibri"/>
          <w:noProof/>
          <w:sz w:val="22"/>
        </w:rPr>
        <mc:AlternateContent>
          <mc:Choice Requires="wpg">
            <w:drawing>
              <wp:inline distT="0" distB="0" distL="0" distR="0" wp14:anchorId="39DA2579" wp14:editId="00DC636F">
                <wp:extent cx="2671572" cy="10668"/>
                <wp:effectExtent l="0" t="0" r="0" b="0"/>
                <wp:docPr id="3973" name="Group 3973"/>
                <wp:cNvGraphicFramePr/>
                <a:graphic xmlns:a="http://schemas.openxmlformats.org/drawingml/2006/main">
                  <a:graphicData uri="http://schemas.microsoft.com/office/word/2010/wordprocessingGroup">
                    <wpg:wgp>
                      <wpg:cNvGrpSpPr/>
                      <wpg:grpSpPr>
                        <a:xfrm>
                          <a:off x="0" y="0"/>
                          <a:ext cx="2671572" cy="10668"/>
                          <a:chOff x="0" y="0"/>
                          <a:chExt cx="2671572" cy="10668"/>
                        </a:xfrm>
                      </wpg:grpSpPr>
                      <wps:wsp>
                        <wps:cNvPr id="4375" name="Shape 4375"/>
                        <wps:cNvSpPr/>
                        <wps:spPr>
                          <a:xfrm>
                            <a:off x="0" y="0"/>
                            <a:ext cx="2671572" cy="10668"/>
                          </a:xfrm>
                          <a:custGeom>
                            <a:avLst/>
                            <a:gdLst/>
                            <a:ahLst/>
                            <a:cxnLst/>
                            <a:rect l="0" t="0" r="0" b="0"/>
                            <a:pathLst>
                              <a:path w="2671572" h="10668">
                                <a:moveTo>
                                  <a:pt x="0" y="0"/>
                                </a:moveTo>
                                <a:lnTo>
                                  <a:pt x="2671572" y="0"/>
                                </a:lnTo>
                                <a:lnTo>
                                  <a:pt x="26715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E0D8F6" id="Group 3973" o:spid="_x0000_s1026" style="width:210.35pt;height:.85pt;mso-position-horizontal-relative:char;mso-position-vertical-relative:line" coordsize="2671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">
                <v:shape id="Shape 4375" o:spid="_x0000_s1027" style="position:absolute;width:26715;height:106;visibility:visible;mso-wrap-style:square;v-text-anchor:top" coordsize="267157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CwMUA&#10;AADdAAAADwAAAGRycy9kb3ducmV2LnhtbESP0YrCMBRE3wX/IVzBN03VXZVqFBGEwuKK1Q+4Nte2&#10;2NyUJtru328WFnwcZuYMs952phIvalxpWcFkHIEgzqwuOVdwvRxGSxDOI2usLJOCH3Kw3fR7a4y1&#10;bflMr9TnIkDYxaig8L6OpXRZQQbd2NbEwbvbxqAPssmlbrANcFPJaRTNpcGSw0KBNe0Lyh7p0yho&#10;v27J8f69XJySw5Gnp+v+EqWpUsNBt1uB8NT5d/i/nWgFH7PFJ/y9C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4LAxQAAAN0AAAAPAAAAAAAAAAAAAAAAAJgCAABkcnMv&#10;ZG93bnJldi54bWxQSwUGAAAAAAQABAD1AAAAigMAAAAA&#10;" path="m,l2671572,r,10668l,10668,,e" fillcolor="black" stroked="f" strokeweight="0">
                  <v:stroke miterlimit="83231f" joinstyle="miter"/>
                  <v:path arrowok="t" textboxrect="0,0,2671572,10668"/>
                </v:shape>
                <w10:anchorlock/>
              </v:group>
            </w:pict>
          </mc:Fallback>
        </mc:AlternateContent>
      </w:r>
    </w:p>
    <w:p w14:paraId="65D8D680" w14:textId="77777777" w:rsidR="00B63CF6" w:rsidRDefault="00B63CF6" w:rsidP="00B63CF6">
      <w:pPr>
        <w:spacing w:after="3" w:line="265" w:lineRule="auto"/>
        <w:ind w:left="4258" w:right="405" w:firstLine="0"/>
      </w:pPr>
      <w:r w:rsidRPr="00233071">
        <w:t>[</w:t>
      </w:r>
      <w:r w:rsidRPr="00B63CF6">
        <w:rPr>
          <w:highlight w:val="yellow"/>
        </w:rPr>
        <w:t>NOM DE L’AVOCAT</w:t>
      </w:r>
      <w:r w:rsidRPr="00233071">
        <w:t xml:space="preserve">] </w:t>
      </w:r>
    </w:p>
    <w:p w14:paraId="4AA9E00A" w14:textId="77777777" w:rsidR="009E2BD5" w:rsidRDefault="00B63CF6" w:rsidP="00B63CF6">
      <w:pPr>
        <w:spacing w:after="3" w:line="265" w:lineRule="auto"/>
        <w:ind w:left="3550" w:right="405" w:firstLine="0"/>
        <w:jc w:val="right"/>
      </w:pPr>
      <w:r>
        <w:t xml:space="preserve">Procureur des défendeurs </w:t>
      </w:r>
      <w:r w:rsidRPr="00233071">
        <w:t>[</w:t>
      </w:r>
      <w:r>
        <w:rPr>
          <w:highlight w:val="yellow"/>
        </w:rPr>
        <w:t>DÉFENDEUR 3</w:t>
      </w:r>
      <w:r w:rsidRPr="00233071">
        <w:t>]</w:t>
      </w:r>
    </w:p>
    <w:p w14:paraId="7204BCEA" w14:textId="77777777" w:rsidR="009E2BD5" w:rsidRDefault="00B63CF6" w:rsidP="00B63CF6">
      <w:pPr>
        <w:spacing w:after="3" w:line="265" w:lineRule="auto"/>
        <w:ind w:left="1416" w:right="1262" w:firstLine="708"/>
        <w:jc w:val="center"/>
        <w:sectPr w:rsidR="009E2BD5">
          <w:headerReference w:type="even" r:id="rId10"/>
          <w:headerReference w:type="default" r:id="rId11"/>
          <w:headerReference w:type="first" r:id="rId12"/>
          <w:pgSz w:w="12240" w:h="15840"/>
          <w:pgMar w:top="598" w:right="1439" w:bottom="767" w:left="2160" w:header="720" w:footer="720" w:gutter="0"/>
          <w:cols w:space="720"/>
          <w:titlePg/>
        </w:sectPr>
      </w:pPr>
      <w:proofErr w:type="gramStart"/>
      <w:r>
        <w:t>et</w:t>
      </w:r>
      <w:proofErr w:type="gramEnd"/>
      <w:r>
        <w:t xml:space="preserve"> </w:t>
      </w:r>
      <w:r w:rsidRPr="00233071">
        <w:t>[</w:t>
      </w:r>
      <w:r>
        <w:rPr>
          <w:highlight w:val="yellow"/>
        </w:rPr>
        <w:t>DÉFENDEUR 4</w:t>
      </w:r>
      <w:r w:rsidRPr="00233071">
        <w:t>]</w:t>
      </w:r>
    </w:p>
    <w:p w14:paraId="3AD062AE" w14:textId="77777777" w:rsidR="009E2BD5" w:rsidRDefault="00B63CF6">
      <w:pPr>
        <w:tabs>
          <w:tab w:val="center" w:pos="7548"/>
          <w:tab w:val="center" w:pos="10100"/>
        </w:tabs>
        <w:spacing w:line="259" w:lineRule="auto"/>
        <w:ind w:left="-15" w:right="0" w:firstLine="0"/>
      </w:pPr>
      <w:r w:rsidRPr="00233071">
        <w:lastRenderedPageBreak/>
        <w:t>[</w:t>
      </w:r>
      <w:r>
        <w:rPr>
          <w:highlight w:val="yellow"/>
        </w:rPr>
        <w:t>DEMANDEUR</w:t>
      </w:r>
      <w:r w:rsidRPr="00233071">
        <w:t>]</w:t>
      </w:r>
      <w:r>
        <w:tab/>
        <w:t>- and -</w:t>
      </w:r>
      <w:r>
        <w:tab/>
      </w:r>
      <w:r w:rsidRPr="00233071">
        <w:t>[</w:t>
      </w:r>
      <w:r>
        <w:rPr>
          <w:highlight w:val="yellow"/>
        </w:rPr>
        <w:t>DÉFENDEUR 1</w:t>
      </w:r>
      <w:r w:rsidRPr="00233071">
        <w:t>]</w:t>
      </w:r>
      <w:r>
        <w:t>, ET AL.</w:t>
      </w:r>
    </w:p>
    <w:p w14:paraId="676688D9" w14:textId="77777777" w:rsidR="009E2BD5" w:rsidRDefault="00B63CF6">
      <w:pPr>
        <w:tabs>
          <w:tab w:val="right" w:pos="14556"/>
        </w:tabs>
        <w:spacing w:after="241" w:line="259" w:lineRule="auto"/>
        <w:ind w:left="-15" w:right="0" w:firstLine="0"/>
      </w:pPr>
      <w:r>
        <w:t xml:space="preserve">                                            DEMAN  D  E   U  R                     </w:t>
      </w:r>
      <w:r>
        <w:tab/>
        <w:t>DEFENDEURS</w:t>
      </w:r>
    </w:p>
    <w:p w14:paraId="639CCC4A" w14:textId="77777777" w:rsidR="009E2BD5" w:rsidRDefault="00B63CF6">
      <w:pPr>
        <w:tabs>
          <w:tab w:val="right" w:pos="14556"/>
        </w:tabs>
        <w:spacing w:after="0" w:line="259" w:lineRule="auto"/>
        <w:ind w:left="0" w:right="0" w:firstLine="0"/>
      </w:pPr>
      <w:r w:rsidRPr="003F557C">
        <w:rPr>
          <w:sz w:val="14"/>
          <w:lang w:val="en-CA"/>
        </w:rPr>
        <w:t>(Short title of proceeding)</w:t>
      </w:r>
      <w:r w:rsidRPr="003F557C">
        <w:rPr>
          <w:sz w:val="14"/>
          <w:lang w:val="en-CA"/>
        </w:rPr>
        <w:tab/>
      </w:r>
      <w:r w:rsidRPr="003F557C">
        <w:rPr>
          <w:b/>
          <w:lang w:val="en-CA"/>
        </w:rPr>
        <w:t xml:space="preserve">No. du </w:t>
      </w:r>
      <w:proofErr w:type="spellStart"/>
      <w:r w:rsidRPr="003F557C">
        <w:rPr>
          <w:b/>
          <w:lang w:val="en-CA"/>
        </w:rPr>
        <w:t>Greffe</w:t>
      </w:r>
      <w:proofErr w:type="spellEnd"/>
      <w:r w:rsidRPr="003F557C">
        <w:rPr>
          <w:b/>
          <w:lang w:val="en-CA"/>
        </w:rPr>
        <w:t>.</w:t>
      </w:r>
      <w:r w:rsidRPr="003F557C">
        <w:rPr>
          <w:lang w:val="en-CA"/>
        </w:rPr>
        <w:t xml:space="preserve">  </w:t>
      </w:r>
      <w:r w:rsidRPr="00233071">
        <w:t>[</w:t>
      </w:r>
      <w:r>
        <w:rPr>
          <w:highlight w:val="yellow"/>
        </w:rPr>
        <w:t>#</w:t>
      </w:r>
      <w:r w:rsidRPr="00233071">
        <w:t>]</w:t>
      </w:r>
    </w:p>
    <w:tbl>
      <w:tblPr>
        <w:tblStyle w:val="TableGrid"/>
        <w:tblW w:w="13454" w:type="dxa"/>
        <w:tblInd w:w="0" w:type="dxa"/>
        <w:tblCellMar>
          <w:top w:w="41" w:type="dxa"/>
          <w:left w:w="134" w:type="dxa"/>
          <w:right w:w="115" w:type="dxa"/>
        </w:tblCellMar>
        <w:tblLook w:val="04A0" w:firstRow="1" w:lastRow="0" w:firstColumn="1" w:lastColumn="0" w:noHBand="0" w:noVBand="1"/>
      </w:tblPr>
      <w:tblGrid>
        <w:gridCol w:w="9195"/>
        <w:gridCol w:w="4259"/>
      </w:tblGrid>
      <w:tr w:rsidR="009E2BD5" w14:paraId="2243CC39" w14:textId="77777777" w:rsidTr="00B63CF6">
        <w:trPr>
          <w:trHeight w:val="2485"/>
        </w:trPr>
        <w:tc>
          <w:tcPr>
            <w:tcW w:w="9195" w:type="dxa"/>
            <w:vMerge w:val="restart"/>
            <w:tcBorders>
              <w:top w:val="single" w:sz="7" w:space="0" w:color="000000"/>
              <w:left w:val="nil"/>
              <w:bottom w:val="nil"/>
              <w:right w:val="single" w:sz="7" w:space="0" w:color="000000"/>
            </w:tcBorders>
            <w:vAlign w:val="center"/>
          </w:tcPr>
          <w:p w14:paraId="11561C76" w14:textId="77777777" w:rsidR="009E2BD5" w:rsidRDefault="009E2BD5">
            <w:pPr>
              <w:spacing w:after="160" w:line="259" w:lineRule="auto"/>
              <w:ind w:left="0" w:right="0" w:firstLine="0"/>
            </w:pPr>
          </w:p>
        </w:tc>
        <w:tc>
          <w:tcPr>
            <w:tcW w:w="4259" w:type="dxa"/>
            <w:tcBorders>
              <w:top w:val="single" w:sz="7" w:space="0" w:color="000000"/>
              <w:left w:val="single" w:sz="7" w:space="0" w:color="000000"/>
              <w:bottom w:val="double" w:sz="7" w:space="0" w:color="000000"/>
              <w:right w:val="nil"/>
            </w:tcBorders>
          </w:tcPr>
          <w:p w14:paraId="2F8E8BB9" w14:textId="77777777" w:rsidR="009E2BD5" w:rsidRDefault="00B63CF6">
            <w:pPr>
              <w:spacing w:after="0" w:line="259" w:lineRule="auto"/>
              <w:ind w:left="0" w:right="0" w:firstLine="0"/>
            </w:pPr>
            <w:r>
              <w:rPr>
                <w:b/>
              </w:rPr>
              <w:t xml:space="preserve">ONTARIO </w:t>
            </w:r>
          </w:p>
          <w:p w14:paraId="0A92FC2C" w14:textId="77777777" w:rsidR="009E2BD5" w:rsidRDefault="00B63CF6">
            <w:pPr>
              <w:spacing w:after="273" w:line="259" w:lineRule="auto"/>
              <w:ind w:left="0" w:right="0" w:firstLine="0"/>
            </w:pPr>
            <w:r>
              <w:rPr>
                <w:b/>
              </w:rPr>
              <w:t>COUR SUPÉRIEURE DE JUSTICE</w:t>
            </w:r>
          </w:p>
          <w:p w14:paraId="43E0CDCB" w14:textId="77777777" w:rsidR="009E2BD5" w:rsidRDefault="00B63CF6">
            <w:pPr>
              <w:spacing w:after="0" w:line="259" w:lineRule="auto"/>
              <w:ind w:left="0" w:right="0" w:firstLine="0"/>
            </w:pPr>
            <w:r>
              <w:t>Procès introduit à TORONTO</w:t>
            </w:r>
          </w:p>
        </w:tc>
      </w:tr>
      <w:tr w:rsidR="009E2BD5" w14:paraId="3F6A5E51" w14:textId="77777777" w:rsidTr="00B63CF6">
        <w:trPr>
          <w:trHeight w:val="1738"/>
        </w:trPr>
        <w:tc>
          <w:tcPr>
            <w:tcW w:w="0" w:type="auto"/>
            <w:vMerge/>
            <w:tcBorders>
              <w:top w:val="nil"/>
              <w:left w:val="nil"/>
              <w:bottom w:val="nil"/>
              <w:right w:val="single" w:sz="7" w:space="0" w:color="000000"/>
            </w:tcBorders>
          </w:tcPr>
          <w:p w14:paraId="1DFE7AA1" w14:textId="77777777" w:rsidR="009E2BD5" w:rsidRDefault="009E2BD5">
            <w:pPr>
              <w:spacing w:after="160" w:line="259" w:lineRule="auto"/>
              <w:ind w:left="0" w:right="0" w:firstLine="0"/>
            </w:pPr>
          </w:p>
        </w:tc>
        <w:tc>
          <w:tcPr>
            <w:tcW w:w="4259" w:type="dxa"/>
            <w:tcBorders>
              <w:top w:val="double" w:sz="7" w:space="0" w:color="000000"/>
              <w:left w:val="single" w:sz="7" w:space="0" w:color="000000"/>
              <w:bottom w:val="double" w:sz="7" w:space="0" w:color="000000"/>
              <w:right w:val="nil"/>
            </w:tcBorders>
            <w:vAlign w:val="center"/>
          </w:tcPr>
          <w:p w14:paraId="46B336BF" w14:textId="77777777" w:rsidR="009E2BD5" w:rsidRPr="00B63CF6" w:rsidRDefault="00B63CF6">
            <w:pPr>
              <w:spacing w:after="0" w:line="259" w:lineRule="auto"/>
              <w:ind w:left="0" w:right="0" w:firstLine="0"/>
              <w:rPr>
                <w:b/>
              </w:rPr>
            </w:pPr>
            <w:r w:rsidRPr="00B63CF6">
              <w:rPr>
                <w:b/>
              </w:rPr>
              <w:t>MÉMOIRE DE [</w:t>
            </w:r>
            <w:r w:rsidRPr="00B63CF6">
              <w:rPr>
                <w:b/>
                <w:highlight w:val="yellow"/>
              </w:rPr>
              <w:t>DÉFENDEUR 3</w:t>
            </w:r>
            <w:r w:rsidRPr="00B63CF6">
              <w:rPr>
                <w:b/>
              </w:rPr>
              <w:t>] et</w:t>
            </w:r>
          </w:p>
          <w:p w14:paraId="6448296E" w14:textId="77777777" w:rsidR="009E2BD5" w:rsidRDefault="00B63CF6">
            <w:pPr>
              <w:spacing w:after="0" w:line="259" w:lineRule="auto"/>
              <w:ind w:left="0" w:right="0" w:firstLine="0"/>
            </w:pPr>
            <w:r w:rsidRPr="00B63CF6">
              <w:rPr>
                <w:b/>
              </w:rPr>
              <w:t>[</w:t>
            </w:r>
            <w:r w:rsidRPr="00B63CF6">
              <w:rPr>
                <w:b/>
                <w:highlight w:val="yellow"/>
              </w:rPr>
              <w:t>DÉFENDEUR 4</w:t>
            </w:r>
            <w:r w:rsidRPr="00B63CF6">
              <w:rPr>
                <w:b/>
              </w:rPr>
              <w:t>]</w:t>
            </w:r>
          </w:p>
        </w:tc>
      </w:tr>
      <w:tr w:rsidR="009E2BD5" w:rsidRPr="00B63CF6" w14:paraId="7332DE4D" w14:textId="77777777" w:rsidTr="00B63CF6">
        <w:trPr>
          <w:trHeight w:val="3566"/>
        </w:trPr>
        <w:tc>
          <w:tcPr>
            <w:tcW w:w="0" w:type="auto"/>
            <w:vMerge/>
            <w:tcBorders>
              <w:top w:val="nil"/>
              <w:left w:val="nil"/>
              <w:bottom w:val="nil"/>
              <w:right w:val="single" w:sz="7" w:space="0" w:color="000000"/>
            </w:tcBorders>
          </w:tcPr>
          <w:p w14:paraId="6EB11ED7" w14:textId="77777777" w:rsidR="009E2BD5" w:rsidRDefault="009E2BD5">
            <w:pPr>
              <w:spacing w:after="160" w:line="259" w:lineRule="auto"/>
              <w:ind w:left="0" w:right="0" w:firstLine="0"/>
            </w:pPr>
          </w:p>
        </w:tc>
        <w:tc>
          <w:tcPr>
            <w:tcW w:w="4259" w:type="dxa"/>
            <w:tcBorders>
              <w:top w:val="double" w:sz="7" w:space="0" w:color="000000"/>
              <w:left w:val="single" w:sz="7" w:space="0" w:color="000000"/>
              <w:bottom w:val="nil"/>
              <w:right w:val="nil"/>
            </w:tcBorders>
          </w:tcPr>
          <w:p w14:paraId="1BF92102" w14:textId="77777777" w:rsidR="009E2BD5" w:rsidRPr="00EA020D" w:rsidRDefault="00B63CF6">
            <w:pPr>
              <w:spacing w:after="264" w:line="259" w:lineRule="auto"/>
              <w:ind w:left="112" w:right="0" w:firstLine="0"/>
              <w:jc w:val="center"/>
            </w:pPr>
            <w:r w:rsidRPr="00EA020D">
              <w:rPr>
                <w:sz w:val="14"/>
              </w:rPr>
              <w:t>DYE &amp; DURHAM CFS</w:t>
            </w:r>
          </w:p>
          <w:p w14:paraId="3F7409CA" w14:textId="77777777" w:rsidR="00B63CF6" w:rsidRDefault="00B63CF6">
            <w:pPr>
              <w:spacing w:after="0" w:line="259" w:lineRule="auto"/>
              <w:ind w:left="0" w:right="0" w:firstLine="0"/>
            </w:pPr>
            <w:r w:rsidRPr="00233071">
              <w:t>[</w:t>
            </w:r>
            <w:r w:rsidRPr="00B63CF6">
              <w:rPr>
                <w:highlight w:val="yellow"/>
              </w:rPr>
              <w:t>NOM DU CABINET</w:t>
            </w:r>
            <w:r w:rsidRPr="00233071">
              <w:t>]</w:t>
            </w:r>
          </w:p>
          <w:p w14:paraId="61A86FD6" w14:textId="77777777" w:rsidR="009E2BD5" w:rsidRPr="00B63CF6" w:rsidRDefault="00B63CF6">
            <w:pPr>
              <w:spacing w:after="0" w:line="259" w:lineRule="auto"/>
              <w:ind w:left="0" w:right="0" w:firstLine="0"/>
            </w:pPr>
            <w:proofErr w:type="spellStart"/>
            <w:r w:rsidRPr="00B63CF6">
              <w:t>Barristers</w:t>
            </w:r>
            <w:proofErr w:type="spellEnd"/>
            <w:r w:rsidRPr="00B63CF6">
              <w:t xml:space="preserve"> and Solicitors</w:t>
            </w:r>
          </w:p>
          <w:p w14:paraId="15D73C56" w14:textId="77777777" w:rsidR="009E2BD5" w:rsidRPr="00B63CF6" w:rsidRDefault="00B63CF6">
            <w:pPr>
              <w:spacing w:after="273" w:line="259" w:lineRule="auto"/>
              <w:ind w:left="0" w:right="0" w:firstLine="0"/>
            </w:pPr>
            <w:r w:rsidRPr="00233071">
              <w:t>[</w:t>
            </w:r>
            <w:r>
              <w:t>ADRESSE</w:t>
            </w:r>
            <w:r w:rsidRPr="00233071">
              <w:t>]</w:t>
            </w:r>
          </w:p>
          <w:p w14:paraId="7D326FAD" w14:textId="77777777" w:rsidR="00B63CF6" w:rsidRPr="008D79E7" w:rsidRDefault="00B63CF6" w:rsidP="00B63CF6">
            <w:pPr>
              <w:spacing w:after="0" w:line="259" w:lineRule="auto"/>
            </w:pPr>
            <w:r>
              <w:t>[</w:t>
            </w:r>
            <w:r w:rsidRPr="00B63CF6">
              <w:rPr>
                <w:highlight w:val="yellow"/>
              </w:rPr>
              <w:t>NOM DE L’AVOCAT</w:t>
            </w:r>
            <w:r w:rsidRPr="008D79E7">
              <w:t>]</w:t>
            </w:r>
            <w:r>
              <w:t xml:space="preserve">  </w:t>
            </w:r>
            <w:r w:rsidRPr="008D79E7">
              <w:t xml:space="preserve">LSUC#: </w:t>
            </w:r>
            <w:r>
              <w:t>[</w:t>
            </w:r>
            <w:r>
              <w:rPr>
                <w:highlight w:val="yellow"/>
              </w:rPr>
              <w:t>#</w:t>
            </w:r>
            <w:r w:rsidRPr="008D79E7">
              <w:t>]</w:t>
            </w:r>
            <w:r>
              <w:t xml:space="preserve">  </w:t>
            </w:r>
          </w:p>
          <w:p w14:paraId="12F34825" w14:textId="77777777" w:rsidR="00B63CF6" w:rsidRDefault="00B63CF6" w:rsidP="00B63CF6">
            <w:pPr>
              <w:spacing w:after="0" w:line="259" w:lineRule="auto"/>
            </w:pPr>
            <w:r>
              <w:t>Tel: [</w:t>
            </w:r>
            <w:r>
              <w:rPr>
                <w:highlight w:val="yellow"/>
              </w:rPr>
              <w:t>#</w:t>
            </w:r>
            <w:r w:rsidRPr="008D79E7">
              <w:t>]</w:t>
            </w:r>
            <w:r>
              <w:t xml:space="preserve">  </w:t>
            </w:r>
          </w:p>
          <w:p w14:paraId="1A237681" w14:textId="77777777" w:rsidR="00B63CF6" w:rsidRDefault="00B63CF6" w:rsidP="00B63CF6">
            <w:pPr>
              <w:spacing w:after="0" w:line="259" w:lineRule="auto"/>
            </w:pPr>
            <w:r>
              <w:t>Fax: [</w:t>
            </w:r>
            <w:r>
              <w:rPr>
                <w:highlight w:val="yellow"/>
              </w:rPr>
              <w:t>#</w:t>
            </w:r>
            <w:r w:rsidRPr="008D79E7">
              <w:t>]</w:t>
            </w:r>
            <w:r>
              <w:t xml:space="preserve">   </w:t>
            </w:r>
          </w:p>
          <w:p w14:paraId="5D85FC24" w14:textId="77777777" w:rsidR="00B63CF6" w:rsidRDefault="00B63CF6" w:rsidP="00B63CF6">
            <w:pPr>
              <w:spacing w:after="240" w:line="238" w:lineRule="auto"/>
              <w:ind w:left="433" w:right="1324" w:firstLine="0"/>
            </w:pPr>
          </w:p>
          <w:p w14:paraId="7826E3A4" w14:textId="77777777" w:rsidR="009E2BD5" w:rsidRDefault="00B63CF6">
            <w:pPr>
              <w:spacing w:after="0" w:line="259" w:lineRule="auto"/>
              <w:ind w:left="0" w:right="0" w:firstLine="0"/>
            </w:pPr>
            <w:r>
              <w:t>Les Procureurs des Défendeurs</w:t>
            </w:r>
          </w:p>
          <w:p w14:paraId="06F8005F" w14:textId="77777777" w:rsidR="009E2BD5" w:rsidRPr="00B63CF6" w:rsidRDefault="00B63CF6">
            <w:pPr>
              <w:spacing w:after="0" w:line="259" w:lineRule="auto"/>
              <w:ind w:left="0" w:right="0" w:firstLine="0"/>
              <w:rPr>
                <w:lang w:val="en-CA"/>
              </w:rPr>
            </w:pPr>
            <w:r w:rsidRPr="00233071">
              <w:t>[</w:t>
            </w:r>
            <w:r>
              <w:rPr>
                <w:highlight w:val="yellow"/>
              </w:rPr>
              <w:t>DÉFENDEUR 3</w:t>
            </w:r>
            <w:r w:rsidRPr="00233071">
              <w:t>]</w:t>
            </w:r>
            <w:r>
              <w:t xml:space="preserve"> </w:t>
            </w:r>
            <w:r w:rsidRPr="00B63CF6">
              <w:rPr>
                <w:lang w:val="en-CA"/>
              </w:rPr>
              <w:t xml:space="preserve">and </w:t>
            </w:r>
            <w:r w:rsidRPr="00233071">
              <w:t>[</w:t>
            </w:r>
            <w:r>
              <w:rPr>
                <w:highlight w:val="yellow"/>
              </w:rPr>
              <w:t>DÉFENDEUR 4</w:t>
            </w:r>
            <w:r w:rsidRPr="00233071">
              <w:t>]</w:t>
            </w:r>
          </w:p>
        </w:tc>
      </w:tr>
    </w:tbl>
    <w:p w14:paraId="01872D1B" w14:textId="77777777" w:rsidR="008F7826" w:rsidRPr="00B63CF6" w:rsidRDefault="008F7826">
      <w:pPr>
        <w:rPr>
          <w:lang w:val="en-CA"/>
        </w:rPr>
      </w:pPr>
    </w:p>
    <w:sectPr w:rsidR="008F7826" w:rsidRPr="00B63CF6">
      <w:headerReference w:type="even" r:id="rId13"/>
      <w:headerReference w:type="default" r:id="rId14"/>
      <w:headerReference w:type="first" r:id="rId15"/>
      <w:pgSz w:w="15840" w:h="12240" w:orient="landscape"/>
      <w:pgMar w:top="1440" w:right="852" w:bottom="434"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9A8A2" w14:textId="77777777" w:rsidR="008F7826" w:rsidRDefault="00B63CF6">
      <w:pPr>
        <w:spacing w:after="0" w:line="240" w:lineRule="auto"/>
      </w:pPr>
      <w:r>
        <w:separator/>
      </w:r>
    </w:p>
  </w:endnote>
  <w:endnote w:type="continuationSeparator" w:id="0">
    <w:p w14:paraId="24935E6C" w14:textId="77777777" w:rsidR="008F7826" w:rsidRDefault="00B6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2ACEE" w14:textId="77777777" w:rsidR="008F7826" w:rsidRDefault="00B63CF6">
      <w:pPr>
        <w:spacing w:after="0" w:line="240" w:lineRule="auto"/>
      </w:pPr>
      <w:r>
        <w:separator/>
      </w:r>
    </w:p>
  </w:footnote>
  <w:footnote w:type="continuationSeparator" w:id="0">
    <w:p w14:paraId="615B374A" w14:textId="77777777" w:rsidR="008F7826" w:rsidRDefault="00B63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2117D" w14:textId="77777777" w:rsidR="009E2BD5" w:rsidRDefault="00B63CF6">
    <w:pPr>
      <w:spacing w:after="0" w:line="259" w:lineRule="auto"/>
      <w:ind w:left="1" w:right="0" w:firstLine="0"/>
      <w:jc w:val="center"/>
    </w:pPr>
    <w:r>
      <w:t xml:space="preserve">- </w:t>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BFBF" w14:textId="77777777" w:rsidR="009E2BD5" w:rsidRDefault="00B63CF6">
    <w:pPr>
      <w:spacing w:after="0" w:line="259" w:lineRule="auto"/>
      <w:ind w:left="1" w:right="0" w:firstLine="0"/>
      <w:jc w:val="center"/>
    </w:pPr>
    <w:r>
      <w:t xml:space="preserve">- </w:t>
    </w:r>
    <w:r>
      <w:fldChar w:fldCharType="begin"/>
    </w:r>
    <w:r>
      <w:instrText xml:space="preserve"> PAGE   \* MERGEFORMAT </w:instrText>
    </w:r>
    <w:r>
      <w:fldChar w:fldCharType="separate"/>
    </w:r>
    <w:r w:rsidR="00AA3DB6">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3E00" w14:textId="77777777" w:rsidR="009E2BD5" w:rsidRDefault="009E2BD5">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EE0CE" w14:textId="77777777" w:rsidR="009E2BD5" w:rsidRDefault="009E2BD5">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97D1" w14:textId="77777777" w:rsidR="009E2BD5" w:rsidRDefault="009E2BD5">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3D922" w14:textId="77777777" w:rsidR="009E2BD5" w:rsidRDefault="009E2BD5">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514"/>
    <w:multiLevelType w:val="hybridMultilevel"/>
    <w:tmpl w:val="A5FC31FC"/>
    <w:lvl w:ilvl="0" w:tplc="1CFC7A9A">
      <w:start w:val="2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72DA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5A5C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128AE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E07B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40CF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50D78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8879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5A9E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D13CD4"/>
    <w:multiLevelType w:val="hybridMultilevel"/>
    <w:tmpl w:val="C75A5896"/>
    <w:lvl w:ilvl="0" w:tplc="EFA4E752">
      <w:start w:val="4"/>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D6FAD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18BB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4A2F7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460D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C688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086E1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CAC6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846E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FE1604"/>
    <w:multiLevelType w:val="hybridMultilevel"/>
    <w:tmpl w:val="A8F0A134"/>
    <w:lvl w:ilvl="0" w:tplc="B9E6499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728F6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2EE1B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A85B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2661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64C92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921EF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7CFA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4CD9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085B4D"/>
    <w:multiLevelType w:val="hybridMultilevel"/>
    <w:tmpl w:val="A41EBB1C"/>
    <w:lvl w:ilvl="0" w:tplc="A3709696">
      <w:start w:val="17"/>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F4AF2C">
      <w:start w:val="1"/>
      <w:numFmt w:val="bullet"/>
      <w:lvlText w:val="-"/>
      <w:lvlJc w:val="left"/>
      <w:pPr>
        <w:ind w:left="1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900D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22EBD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207570">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C2AB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B8EBB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CEA4CA">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B21B9C">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9E72D5"/>
    <w:multiLevelType w:val="hybridMultilevel"/>
    <w:tmpl w:val="3CC84994"/>
    <w:lvl w:ilvl="0" w:tplc="07E42D00">
      <w:start w:val="2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B06A4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9678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B8B67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6C4A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20D5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806E6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E481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2AAD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E4103F"/>
    <w:multiLevelType w:val="hybridMultilevel"/>
    <w:tmpl w:val="E178440E"/>
    <w:lvl w:ilvl="0" w:tplc="58FE9B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566EC8">
      <w:start w:val="1"/>
      <w:numFmt w:val="bullet"/>
      <w:lvlRestart w:val="0"/>
      <w:lvlText w:val="-"/>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0A37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F0851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B6DF6E">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3ECB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24A23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7A07DE">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92EEE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021483"/>
    <w:multiLevelType w:val="hybridMultilevel"/>
    <w:tmpl w:val="43E87BC0"/>
    <w:lvl w:ilvl="0" w:tplc="EDB83B02">
      <w:start w:val="27"/>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9038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0C13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A66F7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82EC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980E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6CAB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783C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38C5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EDF06C9"/>
    <w:multiLevelType w:val="hybridMultilevel"/>
    <w:tmpl w:val="0B2015B2"/>
    <w:lvl w:ilvl="0" w:tplc="C700D99E">
      <w:start w:val="7"/>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3038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60671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7E145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0EBC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5698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4AA9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F4A2F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78DC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7"/>
  </w:num>
  <w:num w:numId="4">
    <w:abstractNumId w:val="5"/>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D5"/>
    <w:rsid w:val="000307BF"/>
    <w:rsid w:val="00233071"/>
    <w:rsid w:val="003F557C"/>
    <w:rsid w:val="004D1059"/>
    <w:rsid w:val="008F7826"/>
    <w:rsid w:val="009E2BD5"/>
    <w:rsid w:val="009F7BCB"/>
    <w:rsid w:val="00AA3DB6"/>
    <w:rsid w:val="00B63CF6"/>
    <w:rsid w:val="00D83BC8"/>
    <w:rsid w:val="00DF67B2"/>
    <w:rsid w:val="00EA0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1A73"/>
  <w15:docId w15:val="{0709640F-CEE8-420D-BF33-CE814E13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483" w:lineRule="auto"/>
      <w:ind w:left="10" w:right="3" w:hanging="10"/>
    </w:pPr>
    <w:rPr>
      <w:rFonts w:ascii="Arial" w:eastAsia="Arial" w:hAnsi="Arial" w:cs="Arial"/>
      <w:color w:val="000000"/>
      <w:sz w:val="24"/>
    </w:rPr>
  </w:style>
  <w:style w:type="paragraph" w:styleId="Titre1">
    <w:name w:val="heading 1"/>
    <w:next w:val="Normal"/>
    <w:link w:val="Titre1Car"/>
    <w:uiPriority w:val="9"/>
    <w:unhideWhenUsed/>
    <w:qFormat/>
    <w:pPr>
      <w:keepNext/>
      <w:keepLines/>
      <w:spacing w:after="282"/>
      <w:ind w:left="10" w:hanging="10"/>
      <w:outlineLvl w:val="0"/>
    </w:pPr>
    <w:rPr>
      <w:rFonts w:ascii="Arial" w:eastAsia="Arial" w:hAnsi="Arial" w:cs="Arial"/>
      <w:b/>
      <w:color w:val="000000"/>
      <w:sz w:val="24"/>
    </w:rPr>
  </w:style>
  <w:style w:type="paragraph" w:styleId="Titre2">
    <w:name w:val="heading 2"/>
    <w:next w:val="Normal"/>
    <w:link w:val="Titre2Car"/>
    <w:uiPriority w:val="9"/>
    <w:unhideWhenUsed/>
    <w:qFormat/>
    <w:pPr>
      <w:keepNext/>
      <w:keepLines/>
      <w:spacing w:after="248" w:line="265" w:lineRule="auto"/>
      <w:ind w:left="10" w:right="3" w:hanging="10"/>
      <w:jc w:val="center"/>
      <w:outlineLvl w:val="1"/>
    </w:pPr>
    <w:rPr>
      <w:rFonts w:ascii="Arial" w:eastAsia="Arial" w:hAnsi="Arial" w:cs="Arial"/>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4"/>
    </w:rPr>
  </w:style>
  <w:style w:type="character" w:customStyle="1" w:styleId="Titre2Car">
    <w:name w:val="Titre 2 Car"/>
    <w:link w:val="Titre2"/>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3731ad0e534c838bd2c6840f90001fc8">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3edc6b12238257f10d74d9d6726d5442"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2739B4D5-E44D-444A-9A49-A00998990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F3A77-E81D-49ED-8B50-EF9792DC44C6}">
  <ds:schemaRefs>
    <ds:schemaRef ds:uri="http://schemas.microsoft.com/sharepoint/v3/contenttype/forms"/>
  </ds:schemaRefs>
</ds:datastoreItem>
</file>

<file path=customXml/itemProps3.xml><?xml version="1.0" encoding="utf-8"?>
<ds:datastoreItem xmlns:ds="http://schemas.openxmlformats.org/officeDocument/2006/customXml" ds:itemID="{33C79231-4399-494C-8017-C77320A93BF0}">
  <ds:schemaRefs>
    <ds:schemaRef ds:uri="http://schemas.microsoft.com/sharepoint/v4"/>
    <ds:schemaRef ds:uri="http://purl.org/dc/terms/"/>
    <ds:schemaRef ds:uri="f32d96e7-13d9-4f18-bdf0-ee3eec613f8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3f7368a-39e3-42b0-9f9a-b35e77f7a1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1700</Words>
  <Characters>9354</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Stagiaire</cp:lastModifiedBy>
  <cp:revision>2</cp:revision>
  <dcterms:created xsi:type="dcterms:W3CDTF">2018-11-05T16:48:00Z</dcterms:created>
  <dcterms:modified xsi:type="dcterms:W3CDTF">2018-11-05T16:48:00Z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