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7056" w14:textId="77777777" w:rsidR="00097400" w:rsidRPr="00B36695" w:rsidRDefault="00097400" w:rsidP="00097400">
      <w:pPr>
        <w:pStyle w:val="Body"/>
        <w:rPr>
          <w:noProof/>
          <w:lang w:val="fr-CA"/>
        </w:rPr>
      </w:pPr>
      <w:r w:rsidRPr="00B3669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E2633" wp14:editId="033C23E9">
                <wp:simplePos x="0" y="0"/>
                <wp:positionH relativeFrom="column">
                  <wp:posOffset>9525</wp:posOffset>
                </wp:positionH>
                <wp:positionV relativeFrom="paragraph">
                  <wp:posOffset>-167640</wp:posOffset>
                </wp:positionV>
                <wp:extent cx="1280160" cy="0"/>
                <wp:effectExtent l="57150" t="57150" r="53340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632E1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13.2pt" to="101.5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" strokeweight="1.75pt">
                <v:stroke opacity="26214f" miterlimit="4" joinstyle="miter"/>
              </v:line>
            </w:pict>
          </mc:Fallback>
        </mc:AlternateContent>
      </w:r>
      <w:r w:rsidRPr="00B3669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A49A8" wp14:editId="18288BBA">
                <wp:simplePos x="0" y="0"/>
                <wp:positionH relativeFrom="column">
                  <wp:posOffset>-394335</wp:posOffset>
                </wp:positionH>
                <wp:positionV relativeFrom="paragraph">
                  <wp:posOffset>-714375</wp:posOffset>
                </wp:positionV>
                <wp:extent cx="1737360" cy="6991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7D6C8" w14:textId="77777777" w:rsidR="002358A8" w:rsidRPr="00CE018A" w:rsidRDefault="002358A8" w:rsidP="00097400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18A">
                              <w:rPr>
                                <w:rFonts w:ascii="Brush Script MT" w:hAnsi="Brush Script MT"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Charlebois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A49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05pt;margin-top:-56.25pt;width:136.8pt;height:55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" filled="f" stroked="f">
                <v:textbox style="mso-fit-shape-to-text:t">
                  <w:txbxContent>
                    <w:p w14:paraId="6E97D6C8" w14:textId="77777777" w:rsidR="002358A8" w:rsidRPr="00CE018A" w:rsidRDefault="002358A8" w:rsidP="00097400">
                      <w:pPr>
                        <w:tabs>
                          <w:tab w:val="left" w:pos="399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18A">
                        <w:rPr>
                          <w:rFonts w:ascii="Brush Script MT" w:hAnsi="Brush Script MT"/>
                          <w:i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Charlebois</w:t>
                      </w:r>
                    </w:p>
                  </w:txbxContent>
                </v:textbox>
              </v:shape>
            </w:pict>
          </mc:Fallback>
        </mc:AlternateContent>
      </w:r>
      <w:r w:rsidRPr="00B3669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12F1" wp14:editId="1A34A67B">
                <wp:simplePos x="0" y="0"/>
                <wp:positionH relativeFrom="column">
                  <wp:posOffset>1466850</wp:posOffset>
                </wp:positionH>
                <wp:positionV relativeFrom="paragraph">
                  <wp:posOffset>-34290</wp:posOffset>
                </wp:positionV>
                <wp:extent cx="0" cy="5486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747D7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5pt,-2.7pt" to="115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" strokeweight="1.75pt">
                <v:stroke opacity="26214f" miterlimit="4" joinstyle="miter"/>
              </v:line>
            </w:pict>
          </mc:Fallback>
        </mc:AlternateContent>
      </w:r>
      <w:r w:rsidRPr="00B36695"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E38AFB" wp14:editId="6457B844">
                <wp:simplePos x="0" y="0"/>
                <wp:positionH relativeFrom="margin">
                  <wp:posOffset>-409575</wp:posOffset>
                </wp:positionH>
                <wp:positionV relativeFrom="margin">
                  <wp:posOffset>-257175</wp:posOffset>
                </wp:positionV>
                <wp:extent cx="4286250" cy="10096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1" y="21600"/>
                    <wp:lineTo x="21601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DDC98D" w14:textId="77777777" w:rsidR="002358A8" w:rsidRPr="00AF1459" w:rsidRDefault="002358A8" w:rsidP="00097400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6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12"/>
                              <w:gridCol w:w="3702"/>
                            </w:tblGrid>
                            <w:tr w:rsidR="002358A8" w:rsidRPr="00103B75" w14:paraId="3A22DF57" w14:textId="77777777" w:rsidTr="0018078D">
                              <w:trPr>
                                <w:trHeight w:val="1083"/>
                              </w:trPr>
                              <w:tc>
                                <w:tcPr>
                                  <w:tcW w:w="2912" w:type="dxa"/>
                                </w:tcPr>
                                <w:p w14:paraId="2A8A0C20" w14:textId="77777777" w:rsidR="002358A8" w:rsidRPr="00AF1459" w:rsidRDefault="002358A8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Monique J. Charlebois </w:t>
                                  </w:r>
                                </w:p>
                                <w:p w14:paraId="0D0002AB" w14:textId="77777777" w:rsidR="002358A8" w:rsidRPr="00AF1459" w:rsidRDefault="002358A8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Barrister + Solicitor/ Avocate</w:t>
                                  </w:r>
                                </w:p>
                                <w:p w14:paraId="547301D5" w14:textId="77777777" w:rsidR="002358A8" w:rsidRPr="005170AA" w:rsidRDefault="002358A8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2" w:type="dxa"/>
                                </w:tcPr>
                                <w:p w14:paraId="5B1A2C8F" w14:textId="01C0C81C" w:rsidR="002358A8" w:rsidRPr="005170AA" w:rsidRDefault="002358A8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Tél. : </w:t>
                                  </w: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905.849.3939 </w:t>
                                  </w:r>
                                </w:p>
                                <w:p w14:paraId="162C3E2C" w14:textId="138B4329" w:rsidR="002358A8" w:rsidRPr="00103B75" w:rsidRDefault="002358A8" w:rsidP="0018078D">
                                  <w:pPr>
                                    <w:ind w:hanging="540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103B75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Fax:     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fr-CA"/>
                                    </w:rPr>
                                    <w:t>Téléc. :</w:t>
                                  </w:r>
                                  <w:r w:rsidRPr="00103B75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1-855-710-7492</w:t>
                                  </w:r>
                                </w:p>
                                <w:p w14:paraId="3A59D7C1" w14:textId="77777777" w:rsidR="002358A8" w:rsidRPr="005170AA" w:rsidRDefault="002358A8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mjc</w:t>
                                  </w:r>
                                  <w:r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@moniquecharlebois.ca</w:t>
                                  </w: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14:paraId="23B6E2AD" w14:textId="77777777" w:rsidR="002358A8" w:rsidRPr="005170AA" w:rsidRDefault="0096053D" w:rsidP="0018078D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hyperlink r:id="rId10" w:history="1">
                                    <w:r w:rsidR="002358A8" w:rsidRPr="005170AA">
                                      <w:rPr>
                                        <w:rStyle w:val="Hyperlink0"/>
                                        <w:rFonts w:ascii="Calibri" w:hAnsi="Calibri"/>
                                        <w:lang w:val="fr-CA"/>
                                      </w:rPr>
                                      <w:t>www.moniquecharlebois.c</w:t>
                                    </w:r>
                                  </w:hyperlink>
                                  <w:r w:rsidR="002358A8" w:rsidRPr="00E6651E">
                                    <w:rPr>
                                      <w:rStyle w:val="Hyperlink0"/>
                                      <w:rFonts w:ascii="Calibri" w:hAnsi="Calibri"/>
                                      <w:lang w:val="fr-CA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6DED3EF" w14:textId="77777777" w:rsidR="002358A8" w:rsidRPr="005170AA" w:rsidRDefault="002358A8" w:rsidP="00097400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  <w:p w14:paraId="0D757508" w14:textId="77777777" w:rsidR="002358A8" w:rsidRPr="005170AA" w:rsidRDefault="002358A8" w:rsidP="00097400">
                            <w:pPr>
                              <w:pStyle w:val="Body"/>
                              <w:rPr>
                                <w:rFonts w:ascii="Calibri" w:hAnsi="Calibri"/>
                                <w:lang w:val="fr-C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38AFB" id="officeArt object" o:spid="_x0000_s1027" style="position:absolute;margin-left:-32.25pt;margin-top:-20.25pt;width:337.5pt;height:79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0 0 0 21600 21601 21600 21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" filled="f" stroked="f" strokeweight="1pt">
                <v:stroke miterlimit="4"/>
                <v:textbox inset="4pt,4pt,4pt,4pt">
                  <w:txbxContent>
                    <w:p w14:paraId="6FDDC98D" w14:textId="77777777" w:rsidR="002358A8" w:rsidRPr="00AF1459" w:rsidRDefault="002358A8" w:rsidP="00097400">
                      <w:pPr>
                        <w:pStyle w:val="Body"/>
                        <w:rPr>
                          <w:rFonts w:ascii="Calibri" w:eastAsia="Avenir Next Condensed" w:hAnsi="Calibri" w:cs="Avenir Next Condensed"/>
                        </w:rPr>
                      </w:pPr>
                    </w:p>
                    <w:tbl>
                      <w:tblPr>
                        <w:tblStyle w:val="TableGrid"/>
                        <w:tblW w:w="66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12"/>
                        <w:gridCol w:w="3702"/>
                      </w:tblGrid>
                      <w:tr w:rsidR="002358A8" w:rsidRPr="00103B75" w14:paraId="3A22DF57" w14:textId="77777777" w:rsidTr="0018078D">
                        <w:trPr>
                          <w:trHeight w:val="1083"/>
                        </w:trPr>
                        <w:tc>
                          <w:tcPr>
                            <w:tcW w:w="2912" w:type="dxa"/>
                          </w:tcPr>
                          <w:p w14:paraId="2A8A0C20" w14:textId="77777777" w:rsidR="002358A8" w:rsidRPr="00AF1459" w:rsidRDefault="002358A8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 xml:space="preserve">Monique J. Charlebois </w:t>
                            </w:r>
                          </w:p>
                          <w:p w14:paraId="0D0002AB" w14:textId="77777777" w:rsidR="002358A8" w:rsidRPr="00AF1459" w:rsidRDefault="002358A8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>Barrister + Solicitor/ Avocate</w:t>
                            </w:r>
                          </w:p>
                          <w:p w14:paraId="547301D5" w14:textId="77777777" w:rsidR="002358A8" w:rsidRPr="005170AA" w:rsidRDefault="002358A8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702" w:type="dxa"/>
                          </w:tcPr>
                          <w:p w14:paraId="5B1A2C8F" w14:textId="01C0C81C" w:rsidR="002358A8" w:rsidRPr="005170AA" w:rsidRDefault="002358A8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/>
                                <w:lang w:val="fr-CA"/>
                              </w:rPr>
                              <w:t xml:space="preserve">Tél. : </w:t>
                            </w: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 xml:space="preserve">905.849.3939 </w:t>
                            </w:r>
                          </w:p>
                          <w:p w14:paraId="162C3E2C" w14:textId="138B4329" w:rsidR="002358A8" w:rsidRPr="00103B75" w:rsidRDefault="002358A8" w:rsidP="0018078D">
                            <w:pPr>
                              <w:ind w:hanging="540"/>
                              <w:rPr>
                                <w:rFonts w:ascii="Calibri" w:hAnsi="Calibri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103B75">
                              <w:rPr>
                                <w:rFonts w:ascii="Calibri" w:hAnsi="Calibri"/>
                                <w:sz w:val="18"/>
                                <w:szCs w:val="18"/>
                                <w:lang w:val="fr-CA"/>
                              </w:rPr>
                              <w:t xml:space="preserve">Fax: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fr-CA"/>
                              </w:rPr>
                              <w:t>Téléc. :</w:t>
                            </w:r>
                            <w:r w:rsidRPr="00103B75">
                              <w:rPr>
                                <w:rFonts w:ascii="Calibri" w:hAnsi="Calibri"/>
                                <w:sz w:val="18"/>
                                <w:szCs w:val="18"/>
                                <w:lang w:val="fr-CA"/>
                              </w:rPr>
                              <w:t xml:space="preserve"> 1-855-710-7492</w:t>
                            </w:r>
                          </w:p>
                          <w:p w14:paraId="3A59D7C1" w14:textId="77777777" w:rsidR="002358A8" w:rsidRPr="005170AA" w:rsidRDefault="002358A8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>mjc</w:t>
                            </w:r>
                            <w:r>
                              <w:rPr>
                                <w:rFonts w:ascii="Calibri" w:hAnsi="Calibri"/>
                                <w:lang w:val="fr-CA"/>
                              </w:rPr>
                              <w:t>@moniquecharlebois.ca</w:t>
                            </w: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 xml:space="preserve"> </w:t>
                            </w:r>
                          </w:p>
                          <w:p w14:paraId="23B6E2AD" w14:textId="77777777" w:rsidR="002358A8" w:rsidRPr="005170AA" w:rsidRDefault="0096053D" w:rsidP="0018078D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hyperlink r:id="rId11" w:history="1">
                              <w:r w:rsidR="002358A8" w:rsidRPr="005170AA">
                                <w:rPr>
                                  <w:rStyle w:val="Hyperlink0"/>
                                  <w:rFonts w:ascii="Calibri" w:hAnsi="Calibri"/>
                                  <w:lang w:val="fr-CA"/>
                                </w:rPr>
                                <w:t>www.moniquecharlebois.c</w:t>
                              </w:r>
                            </w:hyperlink>
                            <w:r w:rsidR="002358A8" w:rsidRPr="00E6651E">
                              <w:rPr>
                                <w:rStyle w:val="Hyperlink0"/>
                                <w:rFonts w:ascii="Calibri" w:hAnsi="Calibri"/>
                                <w:lang w:val="fr-CA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6DED3EF" w14:textId="77777777" w:rsidR="002358A8" w:rsidRPr="005170AA" w:rsidRDefault="002358A8" w:rsidP="00097400">
                      <w:pPr>
                        <w:pStyle w:val="Body"/>
                        <w:rPr>
                          <w:rFonts w:ascii="Calibri" w:eastAsia="Avenir Next Condensed" w:hAnsi="Calibri" w:cs="Avenir Next Condensed"/>
                          <w:lang w:val="fr-CA"/>
                        </w:rPr>
                      </w:pPr>
                    </w:p>
                    <w:p w14:paraId="0D757508" w14:textId="77777777" w:rsidR="002358A8" w:rsidRPr="005170AA" w:rsidRDefault="002358A8" w:rsidP="00097400">
                      <w:pPr>
                        <w:pStyle w:val="Body"/>
                        <w:rPr>
                          <w:rFonts w:ascii="Calibri" w:hAnsi="Calibri"/>
                          <w:lang w:val="fr-CA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38F27C24" w14:textId="77777777" w:rsidR="00097400" w:rsidRPr="00B36695" w:rsidRDefault="00097400" w:rsidP="00097400">
      <w:pPr>
        <w:pStyle w:val="Body"/>
        <w:rPr>
          <w:lang w:val="fr-CA"/>
        </w:rPr>
      </w:pPr>
    </w:p>
    <w:p w14:paraId="4991564E" w14:textId="77777777" w:rsidR="00097400" w:rsidRPr="00B36695" w:rsidRDefault="00097400" w:rsidP="00097400">
      <w:pPr>
        <w:rPr>
          <w:lang w:val="fr-CA"/>
        </w:rPr>
      </w:pPr>
    </w:p>
    <w:p w14:paraId="67A8D762" w14:textId="77777777" w:rsidR="00097400" w:rsidRPr="00B36695" w:rsidRDefault="00097400" w:rsidP="00097400">
      <w:pPr>
        <w:rPr>
          <w:lang w:val="fr-CA"/>
        </w:rPr>
      </w:pPr>
      <w:r w:rsidRPr="00B36695"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444F6ED" wp14:editId="34C19CFE">
                <wp:simplePos x="0" y="0"/>
                <wp:positionH relativeFrom="margin">
                  <wp:posOffset>-323850</wp:posOffset>
                </wp:positionH>
                <wp:positionV relativeFrom="page">
                  <wp:posOffset>1529080</wp:posOffset>
                </wp:positionV>
                <wp:extent cx="6400800" cy="0"/>
                <wp:effectExtent l="38100" t="57150" r="57150" b="5715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58400" id="officeArt object" o:spid="_x0000_s1026" style="position:absolute;flip:y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" from="-25.5pt,120.4pt" to="478.5pt,120.4pt" wrapcoords="0 0 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" strokeweight="2.25pt">
                <v:stroke miterlimit="4" joinstyle="miter"/>
                <w10:wrap type="through" anchorx="margin" anchory="page"/>
              </v:line>
            </w:pict>
          </mc:Fallback>
        </mc:AlternateContent>
      </w:r>
    </w:p>
    <w:p w14:paraId="535BBDC4" w14:textId="77777777" w:rsidR="00097400" w:rsidRPr="00B36695" w:rsidRDefault="00097400" w:rsidP="00097400">
      <w:pPr>
        <w:rPr>
          <w:lang w:val="fr-CA"/>
        </w:rPr>
      </w:pPr>
    </w:p>
    <w:p w14:paraId="018BE904" w14:textId="77777777" w:rsidR="00097400" w:rsidRPr="00B36695" w:rsidRDefault="00097400" w:rsidP="00097400">
      <w:pPr>
        <w:ind w:hanging="540"/>
        <w:rPr>
          <w:rFonts w:ascii="Calibri" w:hAnsi="Calibri"/>
          <w:sz w:val="18"/>
          <w:szCs w:val="18"/>
          <w:lang w:val="fr-CA"/>
        </w:rPr>
      </w:pPr>
    </w:p>
    <w:p w14:paraId="6F76E5A3" w14:textId="5C116D13" w:rsidR="00097400" w:rsidRPr="00B36695" w:rsidRDefault="00113015" w:rsidP="00097400">
      <w:pPr>
        <w:ind w:hanging="540"/>
        <w:rPr>
          <w:rFonts w:ascii="Calibri" w:hAnsi="Calibri"/>
          <w:sz w:val="22"/>
          <w:szCs w:val="22"/>
          <w:lang w:val="fr-CA"/>
        </w:rPr>
      </w:pPr>
      <w:r w:rsidRPr="00B36695">
        <w:rPr>
          <w:rFonts w:ascii="Calibri" w:hAnsi="Calibri"/>
          <w:sz w:val="22"/>
          <w:szCs w:val="22"/>
          <w:lang w:val="fr-CA"/>
        </w:rPr>
        <w:t>1660</w:t>
      </w:r>
      <w:r w:rsidR="00B36695">
        <w:rPr>
          <w:rFonts w:ascii="Calibri" w:hAnsi="Calibri"/>
          <w:sz w:val="22"/>
          <w:szCs w:val="22"/>
          <w:lang w:val="fr-CA"/>
        </w:rPr>
        <w:t xml:space="preserve">, chemin </w:t>
      </w:r>
      <w:r w:rsidRPr="00B36695">
        <w:rPr>
          <w:rFonts w:ascii="Calibri" w:hAnsi="Calibri"/>
          <w:sz w:val="22"/>
          <w:szCs w:val="22"/>
          <w:lang w:val="fr-CA"/>
        </w:rPr>
        <w:t xml:space="preserve">North Service Est, </w:t>
      </w:r>
      <w:r w:rsidR="00B36695">
        <w:rPr>
          <w:rFonts w:ascii="Calibri" w:hAnsi="Calibri"/>
          <w:sz w:val="22"/>
          <w:szCs w:val="22"/>
          <w:lang w:val="fr-CA"/>
        </w:rPr>
        <w:t xml:space="preserve">bureau 102, </w:t>
      </w:r>
      <w:r w:rsidRPr="00B36695">
        <w:rPr>
          <w:rFonts w:ascii="Calibri" w:hAnsi="Calibri"/>
          <w:sz w:val="22"/>
          <w:szCs w:val="22"/>
          <w:lang w:val="fr-CA"/>
        </w:rPr>
        <w:t>Oakville</w:t>
      </w:r>
      <w:r w:rsidR="00B36695">
        <w:rPr>
          <w:rFonts w:ascii="Calibri" w:hAnsi="Calibri"/>
          <w:sz w:val="22"/>
          <w:szCs w:val="22"/>
          <w:lang w:val="fr-CA"/>
        </w:rPr>
        <w:t xml:space="preserve"> (Ontario)</w:t>
      </w:r>
      <w:r w:rsidRPr="00B36695">
        <w:rPr>
          <w:rFonts w:ascii="Calibri" w:hAnsi="Calibri"/>
          <w:sz w:val="22"/>
          <w:szCs w:val="22"/>
          <w:lang w:val="fr-CA"/>
        </w:rPr>
        <w:t xml:space="preserve"> L6H 7G3</w:t>
      </w:r>
      <w:r w:rsidR="00097400" w:rsidRPr="00B36695">
        <w:rPr>
          <w:rFonts w:ascii="Calibri" w:hAnsi="Calibri"/>
          <w:sz w:val="22"/>
          <w:szCs w:val="22"/>
          <w:lang w:val="fr-CA"/>
        </w:rPr>
        <w:tab/>
      </w:r>
      <w:r w:rsidR="00097400" w:rsidRPr="00B36695">
        <w:rPr>
          <w:rFonts w:ascii="Calibri" w:hAnsi="Calibri"/>
          <w:sz w:val="22"/>
          <w:szCs w:val="22"/>
          <w:lang w:val="fr-CA"/>
        </w:rPr>
        <w:tab/>
      </w:r>
      <w:r w:rsidR="00097400" w:rsidRPr="00B36695">
        <w:rPr>
          <w:rFonts w:ascii="Calibri" w:hAnsi="Calibri"/>
          <w:sz w:val="22"/>
          <w:szCs w:val="22"/>
          <w:lang w:val="fr-CA"/>
        </w:rPr>
        <w:tab/>
      </w:r>
      <w:r w:rsidR="00097400" w:rsidRPr="00B36695">
        <w:rPr>
          <w:rFonts w:ascii="Calibri" w:hAnsi="Calibri"/>
          <w:sz w:val="22"/>
          <w:szCs w:val="22"/>
          <w:lang w:val="fr-CA"/>
        </w:rPr>
        <w:tab/>
      </w:r>
    </w:p>
    <w:p w14:paraId="3F549E58" w14:textId="77777777" w:rsidR="00097400" w:rsidRPr="00B36695" w:rsidRDefault="00097400" w:rsidP="00097400">
      <w:pPr>
        <w:ind w:hanging="540"/>
        <w:rPr>
          <w:rFonts w:ascii="Calibri" w:hAnsi="Calibri"/>
          <w:sz w:val="22"/>
          <w:szCs w:val="22"/>
          <w:lang w:val="fr-CA"/>
        </w:rPr>
      </w:pPr>
    </w:p>
    <w:p w14:paraId="64833014" w14:textId="46BB2C6D" w:rsidR="00097400" w:rsidRPr="00B36695" w:rsidRDefault="007063BA" w:rsidP="00097400">
      <w:pPr>
        <w:jc w:val="center"/>
        <w:rPr>
          <w:rFonts w:asciiTheme="minorHAnsi" w:hAnsiTheme="minorHAnsi"/>
          <w:b/>
          <w:sz w:val="32"/>
          <w:lang w:val="fr-CA"/>
        </w:rPr>
      </w:pPr>
      <w:r>
        <w:rPr>
          <w:rFonts w:asciiTheme="minorHAnsi" w:hAnsiTheme="minorHAnsi"/>
          <w:b/>
          <w:sz w:val="32"/>
          <w:lang w:val="fr-CA"/>
        </w:rPr>
        <w:t xml:space="preserve">Rémunération et tenue de </w:t>
      </w:r>
      <w:r w:rsidR="00D7438A">
        <w:rPr>
          <w:rFonts w:asciiTheme="minorHAnsi" w:hAnsiTheme="minorHAnsi"/>
          <w:b/>
          <w:sz w:val="32"/>
          <w:lang w:val="fr-CA"/>
        </w:rPr>
        <w:t>livre</w:t>
      </w:r>
      <w:r>
        <w:rPr>
          <w:rFonts w:asciiTheme="minorHAnsi" w:hAnsiTheme="minorHAnsi"/>
          <w:b/>
          <w:sz w:val="32"/>
          <w:lang w:val="fr-CA"/>
        </w:rPr>
        <w:t>s du fiduciaire de la succession et de son avocat en</w:t>
      </w:r>
      <w:r w:rsidR="00097400" w:rsidRPr="00B36695">
        <w:rPr>
          <w:rFonts w:asciiTheme="minorHAnsi" w:hAnsiTheme="minorHAnsi"/>
          <w:b/>
          <w:sz w:val="32"/>
          <w:lang w:val="fr-CA"/>
        </w:rPr>
        <w:t xml:space="preserve"> Ontario</w:t>
      </w:r>
    </w:p>
    <w:p w14:paraId="17D84EA7" w14:textId="77777777" w:rsidR="00097400" w:rsidRPr="00B36695" w:rsidRDefault="00097400" w:rsidP="00097400">
      <w:pPr>
        <w:rPr>
          <w:sz w:val="24"/>
          <w:lang w:val="fr-CA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830"/>
      </w:tblGrid>
      <w:tr w:rsidR="00097400" w:rsidRPr="000712F2" w14:paraId="40B01C0C" w14:textId="77777777" w:rsidTr="00B317DF">
        <w:tc>
          <w:tcPr>
            <w:tcW w:w="7830" w:type="dxa"/>
          </w:tcPr>
          <w:p w14:paraId="604E18E9" w14:textId="77777777" w:rsidR="00097400" w:rsidRPr="00B36695" w:rsidRDefault="00097400" w:rsidP="0018078D">
            <w:pPr>
              <w:rPr>
                <w:sz w:val="24"/>
                <w:lang w:val="fr-CA"/>
              </w:rPr>
            </w:pPr>
          </w:p>
          <w:p w14:paraId="2F1E7DFC" w14:textId="3B9310FE" w:rsidR="00097400" w:rsidRPr="00B36695" w:rsidRDefault="009C5831" w:rsidP="00301C3C">
            <w:pPr>
              <w:rPr>
                <w:sz w:val="24"/>
                <w:lang w:val="fr-CA"/>
              </w:rPr>
            </w:pPr>
            <w:r>
              <w:rPr>
                <w:rFonts w:eastAsia="Arial Unicode MS"/>
                <w:sz w:val="24"/>
                <w:szCs w:val="24"/>
                <w:lang w:val="fr-CA"/>
              </w:rPr>
              <w:t xml:space="preserve">Les renseignements qui suivent visent à expliquer comment la rémunération du fiduciaire de la succession est déterminée et quels honoraires ou frais peuvent être dûment facturés et </w:t>
            </w:r>
            <w:r w:rsidR="00894629">
              <w:rPr>
                <w:rFonts w:eastAsia="Arial Unicode MS"/>
                <w:sz w:val="24"/>
                <w:szCs w:val="24"/>
                <w:lang w:val="fr-CA"/>
              </w:rPr>
              <w:t>prélevés sur la succession</w:t>
            </w:r>
            <w:r w:rsidR="00301C3C" w:rsidRPr="00B36695">
              <w:rPr>
                <w:rFonts w:eastAsia="Arial Unicode MS"/>
                <w:sz w:val="24"/>
                <w:szCs w:val="24"/>
                <w:lang w:val="fr-CA"/>
              </w:rPr>
              <w:t xml:space="preserve">. </w:t>
            </w:r>
            <w:r w:rsidR="005B2897">
              <w:rPr>
                <w:rFonts w:eastAsia="Arial Unicode MS"/>
                <w:sz w:val="24"/>
                <w:szCs w:val="24"/>
                <w:lang w:val="fr-CA"/>
              </w:rPr>
              <w:t>Ils ne remplacent pas les conseils précis que vous pouvez obtenir au sujet de votre dossier auprès d’un avocat spécialisé en droit successoral</w:t>
            </w:r>
            <w:r w:rsidR="00097400" w:rsidRPr="00B36695">
              <w:rPr>
                <w:sz w:val="24"/>
                <w:lang w:val="fr-CA"/>
              </w:rPr>
              <w:t xml:space="preserve">.  </w:t>
            </w:r>
          </w:p>
          <w:p w14:paraId="3FD3F022" w14:textId="77777777" w:rsidR="00301C3C" w:rsidRPr="00B36695" w:rsidRDefault="00301C3C" w:rsidP="00301C3C">
            <w:pPr>
              <w:rPr>
                <w:sz w:val="24"/>
                <w:lang w:val="fr-CA"/>
              </w:rPr>
            </w:pPr>
          </w:p>
        </w:tc>
      </w:tr>
    </w:tbl>
    <w:p w14:paraId="3F30CE14" w14:textId="77777777" w:rsidR="00010C42" w:rsidRPr="00B36695" w:rsidRDefault="00010C42">
      <w:pPr>
        <w:rPr>
          <w:lang w:val="fr-CA"/>
        </w:rPr>
      </w:pPr>
    </w:p>
    <w:p w14:paraId="4E5EA750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bdr w:val="nil"/>
          <w:lang w:val="fr-CA"/>
        </w:rPr>
      </w:pPr>
    </w:p>
    <w:p w14:paraId="20457DEF" w14:textId="2AAB2C85" w:rsidR="00301C3C" w:rsidRPr="00B36695" w:rsidRDefault="00CE237A" w:rsidP="00301C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rPr>
          <w:rFonts w:eastAsia="Arial Unicode MS" w:cs="Times New Roman"/>
          <w:sz w:val="24"/>
          <w:szCs w:val="24"/>
          <w:bdr w:val="nil"/>
          <w:lang w:val="fr-CA"/>
        </w:rPr>
      </w:pPr>
      <w:r>
        <w:rPr>
          <w:rFonts w:eastAsia="Arial Unicode MS" w:cs="Times New Roman"/>
          <w:sz w:val="24"/>
          <w:szCs w:val="24"/>
          <w:u w:val="single"/>
          <w:bdr w:val="nil"/>
          <w:lang w:val="fr-CA"/>
        </w:rPr>
        <w:t>Tenue de documents par le fiduciaire de la succession</w:t>
      </w:r>
    </w:p>
    <w:p w14:paraId="24FCF372" w14:textId="77777777" w:rsidR="00301C3C" w:rsidRPr="00B36695" w:rsidRDefault="00301C3C" w:rsidP="00301C3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Times New Roman"/>
          <w:sz w:val="24"/>
          <w:szCs w:val="24"/>
          <w:bdr w:val="nil"/>
          <w:lang w:val="fr-CA"/>
        </w:rPr>
      </w:pPr>
    </w:p>
    <w:p w14:paraId="17142A0B" w14:textId="52C1B3CD" w:rsidR="00301C3C" w:rsidRPr="00B36695" w:rsidRDefault="00540449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En vertu de la </w:t>
      </w:r>
      <w:r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common law,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 la </w:t>
      </w:r>
      <w:r>
        <w:rPr>
          <w:rStyle w:val="Emphasis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  <w:lang w:val="fr-CA"/>
        </w:rPr>
        <w:t>Loi sur les fiduciaires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 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et de la règle 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74.17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(1) 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d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e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s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Pr="00B36695">
        <w:rPr>
          <w:rStyle w:val="apple-converted-space"/>
          <w:rFonts w:cs="Arial"/>
          <w:i/>
          <w:color w:val="333333"/>
          <w:sz w:val="24"/>
          <w:szCs w:val="24"/>
          <w:shd w:val="clear" w:color="auto" w:fill="FFFFFF"/>
          <w:lang w:val="fr-CA"/>
        </w:rPr>
        <w:t>R</w:t>
      </w:r>
      <w:r>
        <w:rPr>
          <w:rStyle w:val="apple-converted-space"/>
          <w:rFonts w:cs="Arial"/>
          <w:i/>
          <w:color w:val="333333"/>
          <w:sz w:val="24"/>
          <w:szCs w:val="24"/>
          <w:shd w:val="clear" w:color="auto" w:fill="FFFFFF"/>
          <w:lang w:val="fr-CA"/>
        </w:rPr>
        <w:t>ègles de procédure civile,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</w:t>
      </w:r>
      <w:r w:rsidR="00D40F98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es fiduciaires de la succession, </w:t>
      </w:r>
      <w:r w:rsidR="00EB327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les </w:t>
      </w:r>
      <w:r w:rsidR="00D40F98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exécuteurs testamentaires, </w:t>
      </w:r>
      <w:r w:rsidR="00EB327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les </w:t>
      </w:r>
      <w:r w:rsidR="00D40F98">
        <w:rPr>
          <w:rFonts w:cs="Arial"/>
          <w:color w:val="333333"/>
          <w:sz w:val="24"/>
          <w:szCs w:val="24"/>
          <w:shd w:val="clear" w:color="auto" w:fill="FFFFFF"/>
          <w:lang w:val="fr-CA"/>
        </w:rPr>
        <w:t>administrateurs et</w:t>
      </w:r>
      <w:r w:rsidR="00EB327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les</w:t>
      </w:r>
      <w:r w:rsidR="00D40F98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tuteurs doivent tenir des comptes complets et exacts </w:t>
      </w:r>
      <w:r w:rsidR="001249A3" w:rsidRP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des 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éléments d’</w:t>
      </w:r>
      <w:r w:rsid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>actif</w:t>
      </w:r>
      <w:r w:rsidR="001249A3" w:rsidRP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>et des opérations de</w:t>
      </w:r>
      <w:r w:rsidR="007E3091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s biens  </w:t>
      </w:r>
      <w:r w:rsid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qui sont </w:t>
      </w:r>
      <w:r w:rsidR="001249A3" w:rsidRPr="001249A3">
        <w:rPr>
          <w:rFonts w:cs="Arial"/>
          <w:color w:val="333333"/>
          <w:sz w:val="24"/>
          <w:szCs w:val="24"/>
          <w:shd w:val="clear" w:color="auto" w:fill="FFFFFF"/>
          <w:lang w:val="fr-CA"/>
        </w:rPr>
        <w:t>confiés à leur administration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</w:t>
      </w:r>
      <w:r w:rsidR="00B31EDF" w:rsidRPr="00B31EDF">
        <w:rPr>
          <w:rFonts w:cs="Arial"/>
          <w:color w:val="333333"/>
          <w:sz w:val="24"/>
          <w:szCs w:val="24"/>
          <w:shd w:val="clear" w:color="auto" w:fill="FFFFFF"/>
          <w:lang w:val="fr-CA"/>
        </w:rPr>
        <w:t>Un bénéficiaire a le droit, apr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ès avoir donné avis, d’examiner</w:t>
      </w:r>
      <w:r w:rsidR="00B31EDF" w:rsidRPr="00B31ED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les comptes et tout document à l’appui. Tous les fiduciaires, </w:t>
      </w:r>
      <w:r w:rsidR="00B31EDF">
        <w:rPr>
          <w:rFonts w:cs="Arial"/>
          <w:color w:val="333333"/>
          <w:sz w:val="24"/>
          <w:szCs w:val="24"/>
          <w:shd w:val="clear" w:color="auto" w:fill="FFFFFF"/>
          <w:lang w:val="fr-CA"/>
        </w:rPr>
        <w:t>notamment</w:t>
      </w:r>
      <w:r w:rsidR="00B31EDF" w:rsidRPr="00B31ED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les avocats qui détiennent des fonds en fiducie, devraient conserver des comptes de la successi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on exacts et à jour et trier</w:t>
      </w:r>
      <w:r w:rsidR="00B31EDF" w:rsidRPr="00B31ED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et conserver toutes les pièces justificatives, comme les relevés bancaires, les duplicatas de dépôts, les chèques annulés, les confirmations de reçus et les bordereaux pour étayer les registres.</w:t>
      </w:r>
      <w:r w:rsidR="00301C3C"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  </w:t>
      </w:r>
    </w:p>
    <w:p w14:paraId="7B9DA25D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96AB6BB" w14:textId="3A53F963" w:rsidR="00301C3C" w:rsidRPr="00B36695" w:rsidRDefault="00FC5563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Si un avocat travaille de près avec le fiduciaire de la succession</w:t>
      </w:r>
      <w:r w:rsidR="00301C3C"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,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les deux sont responsables de tenir des comptes appropriés de leurs tâches respectives</w:t>
      </w:r>
      <w:r w:rsidR="00301C3C"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.</w:t>
      </w:r>
      <w:r w:rsidR="006B557B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Je vous conseille aussi de tenir un journal de votre travail </w:t>
      </w:r>
      <w:r w:rsidR="0083537A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en tant que</w:t>
      </w:r>
      <w:r w:rsidR="006B557B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fiduciaire de la succession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,</w:t>
      </w:r>
      <w:r w:rsidR="00547588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en y indiquant les dates travaillées, le temps de déplacement et le kilométrage effectué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,</w:t>
      </w:r>
      <w:r w:rsidR="00094372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ainsi que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547588">
        <w:rPr>
          <w:rFonts w:cs="Arial"/>
          <w:color w:val="333333"/>
          <w:sz w:val="24"/>
          <w:szCs w:val="24"/>
          <w:shd w:val="clear" w:color="auto" w:fill="FFFFFF"/>
          <w:lang w:val="fr-CA"/>
        </w:rPr>
        <w:t>les tâches</w:t>
      </w:r>
      <w:r w:rsidR="00094372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et</w:t>
      </w:r>
      <w:r w:rsidR="00547588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le temps consacré à celles-ci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.</w:t>
      </w:r>
    </w:p>
    <w:p w14:paraId="3DF101F8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1E55F5C" w14:textId="7AE05940" w:rsidR="00301C3C" w:rsidRPr="00B36695" w:rsidRDefault="00B92731" w:rsidP="00301C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rPr>
          <w:rFonts w:eastAsia="Arial Unicode MS" w:cs="Times New Roman"/>
          <w:sz w:val="24"/>
          <w:szCs w:val="24"/>
          <w:u w:val="single"/>
          <w:bdr w:val="nil"/>
          <w:lang w:val="fr-CA"/>
        </w:rPr>
      </w:pPr>
      <w:r>
        <w:rPr>
          <w:rFonts w:eastAsia="Arial Unicode MS" w:cs="Times New Roman"/>
          <w:sz w:val="24"/>
          <w:szCs w:val="24"/>
          <w:u w:val="single"/>
          <w:bdr w:val="nil"/>
          <w:lang w:val="fr-CA"/>
        </w:rPr>
        <w:t>Que dit la loi au sujet de la rémunération des fiduciaires de la succession</w:t>
      </w:r>
      <w:r w:rsidR="00301C3C" w:rsidRPr="00B36695">
        <w:rPr>
          <w:rFonts w:eastAsia="Arial Unicode MS" w:cs="Times New Roman"/>
          <w:sz w:val="24"/>
          <w:szCs w:val="24"/>
          <w:u w:val="single"/>
          <w:bdr w:val="nil"/>
          <w:lang w:val="fr-CA"/>
        </w:rPr>
        <w:t>?</w:t>
      </w:r>
    </w:p>
    <w:p w14:paraId="37882536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7D086BD2" w14:textId="4D6788FA" w:rsidR="00301C3C" w:rsidRPr="00B36695" w:rsidRDefault="000C6F1B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Les fiduciaires de la succession</w:t>
      </w:r>
      <w:r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ont le droit de réclamer une rémunération pour leur travail, à moins qu’un document testamentaire ne l’interdise. </w:t>
      </w:r>
      <w:r w:rsidR="00260BCF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>Malheureusement, aucune disposition particulière d’une loi ne fournit d’orientations détaillées sur la façon de calculer la rémunération</w:t>
      </w:r>
      <w:r w:rsidR="00301C3C" w:rsidRPr="00B36695"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</w:t>
      </w:r>
    </w:p>
    <w:p w14:paraId="471D4403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48C6F025" w14:textId="663783E4" w:rsidR="00301C3C" w:rsidRPr="00B36695" w:rsidRDefault="00F6560D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t>Si le testament ne pré</w:t>
      </w:r>
      <w:r w:rsidR="00342C9A">
        <w:rPr>
          <w:rFonts w:cs="Arial"/>
          <w:color w:val="333333"/>
          <w:sz w:val="24"/>
          <w:szCs w:val="24"/>
          <w:shd w:val="clear" w:color="auto" w:fill="FFFFFF"/>
          <w:lang w:val="fr-CA"/>
        </w:rPr>
        <w:t>cise</w:t>
      </w: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pas comment la rémunération du </w:t>
      </w: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t>fiduciaire de la succession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doit être calculée</w:t>
      </w: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, la </w:t>
      </w:r>
      <w:r w:rsidRPr="00F6560D">
        <w:rPr>
          <w:rFonts w:cs="Arial"/>
          <w:i/>
          <w:iCs/>
          <w:color w:val="333333"/>
          <w:sz w:val="24"/>
          <w:szCs w:val="24"/>
          <w:shd w:val="clear" w:color="auto" w:fill="FFFFFF"/>
          <w:lang w:val="fr-CA"/>
        </w:rPr>
        <w:t>Loi sur les fiduciaires</w:t>
      </w: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prévoit que la rémunération est fondée sur une « indemnité </w:t>
      </w:r>
      <w:r w:rsidRPr="00F6560D">
        <w:rPr>
          <w:rFonts w:cs="Arial"/>
          <w:color w:val="333333"/>
          <w:sz w:val="24"/>
          <w:szCs w:val="24"/>
          <w:shd w:val="clear" w:color="auto" w:fill="FFFFFF"/>
          <w:lang w:val="fr-CA"/>
        </w:rPr>
        <w:lastRenderedPageBreak/>
        <w:t xml:space="preserve">juste et raisonnable » accordée « en compensation du soin [que le fiduciaire] a apporté à la succession et du temps qu’il y a consacré ». </w:t>
      </w:r>
      <w:r w:rsidR="00E65FCA">
        <w:rPr>
          <w:rFonts w:cs="Arial"/>
          <w:color w:val="333333"/>
          <w:sz w:val="24"/>
          <w:szCs w:val="24"/>
          <w:shd w:val="clear" w:color="auto" w:fill="FFFFFF"/>
          <w:lang w:val="fr-CA"/>
        </w:rPr>
        <w:t>La question a été débattue et abordée dans plusieurs affaires judiciaires, qui fournissent maintenant certaines orientations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 </w:t>
      </w:r>
    </w:p>
    <w:p w14:paraId="12F7991B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3FB9563C" w14:textId="6233ADE0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I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l s’agit d’un domaine complexe</w:t>
      </w:r>
      <w:r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En </w:t>
      </w:r>
      <w:r w:rsidR="009B3A81">
        <w:rPr>
          <w:rFonts w:cs="Arial"/>
          <w:color w:val="333333"/>
          <w:sz w:val="24"/>
          <w:szCs w:val="24"/>
          <w:shd w:val="clear" w:color="auto" w:fill="FFFFFF"/>
          <w:lang w:val="fr-CA"/>
        </w:rPr>
        <w:t>bref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, l</w:t>
      </w:r>
      <w:r w:rsidR="00B02D1A" w:rsidRP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e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s</w:t>
      </w:r>
      <w:r w:rsidR="00B02D1A" w:rsidRP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tribuna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ux ont</w:t>
      </w:r>
      <w:r w:rsidR="00B02D1A" w:rsidRP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appliqué les 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« </w:t>
      </w:r>
      <w:r w:rsidR="00B02D1A" w:rsidRP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lignes directrices en matière de tarif</w:t>
      </w:r>
      <w:r w:rsid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 »</w:t>
      </w:r>
      <w:r w:rsidR="00B02D1A" w:rsidRPr="00B02D1A">
        <w:rPr>
          <w:rFonts w:cs="Arial"/>
          <w:color w:val="333333"/>
          <w:sz w:val="24"/>
          <w:szCs w:val="24"/>
          <w:shd w:val="clear" w:color="auto" w:fill="FFFFFF"/>
          <w:lang w:val="fr-CA"/>
        </w:rPr>
        <w:t>. Pour une succession de complexité moyenne, l’indemnité est habituellement fixée à 2,5 % des rentrées du compte capital, 2,5 % des rentrées du compte revenus, 2,5 % pour les sorties du compte capital et 2,5 % pour les sorties du compte revenus.</w:t>
      </w:r>
      <w:r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6B7F5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Si des 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éléments d’actif</w:t>
      </w:r>
      <w:r w:rsidR="006B7F5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liquides doivent être gérés et placés pendant un certain temps (comme dans une fiducie)</w:t>
      </w:r>
      <w:r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>la rémunération peut</w:t>
      </w:r>
      <w:r w:rsid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aussi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comprend</w:t>
      </w:r>
      <w:r w:rsid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>re des « h</w:t>
      </w:r>
      <w:r w:rsidR="00792E3B" w:rsidRP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>onoraires relatifs aux soins et à la gestion</w:t>
      </w:r>
      <w:r w:rsid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> »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annuels équivalant à 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2/5 de 1 % des 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éléments d’actif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visés par l’administration. Les transferts entre les comptes de la succession et le paiement de la rémunération de l’exécuteur testamentaire sont déduits du calc</w:t>
      </w:r>
      <w:r w:rsidR="00792E3B">
        <w:rPr>
          <w:rFonts w:cs="Arial"/>
          <w:color w:val="333333"/>
          <w:sz w:val="24"/>
          <w:szCs w:val="24"/>
          <w:shd w:val="clear" w:color="auto" w:fill="FFFFFF"/>
          <w:lang w:val="fr-CA"/>
        </w:rPr>
        <w:t>ul. L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es transferts </w:t>
      </w:r>
      <w:r w:rsidR="00CC194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directs 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 biens </w:t>
      </w:r>
      <w:r w:rsidR="00CC194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(comme </w:t>
      </w:r>
      <w:r w:rsidR="00D330D1">
        <w:rPr>
          <w:rFonts w:cs="Arial"/>
          <w:color w:val="333333"/>
          <w:sz w:val="24"/>
          <w:szCs w:val="24"/>
          <w:shd w:val="clear" w:color="auto" w:fill="FFFFFF"/>
          <w:lang w:val="fr-CA"/>
        </w:rPr>
        <w:t>l</w:t>
      </w:r>
      <w:r w:rsidR="00CC1945">
        <w:rPr>
          <w:rFonts w:cs="Arial"/>
          <w:color w:val="333333"/>
          <w:sz w:val="24"/>
          <w:szCs w:val="24"/>
          <w:shd w:val="clear" w:color="auto" w:fill="FFFFFF"/>
          <w:lang w:val="fr-CA"/>
        </w:rPr>
        <w:t>es bijoux, une maison ou une voiture)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FF02B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font habituellement l’objet d’une rémunération </w:t>
      </w:r>
      <w:r w:rsidR="00050A0B" w:rsidRPr="00050A0B">
        <w:rPr>
          <w:rFonts w:cs="Arial"/>
          <w:color w:val="333333"/>
          <w:sz w:val="24"/>
          <w:szCs w:val="24"/>
          <w:shd w:val="clear" w:color="auto" w:fill="FFFFFF"/>
          <w:lang w:val="fr-CA"/>
        </w:rPr>
        <w:t>à un taux réduit.</w:t>
      </w:r>
    </w:p>
    <w:p w14:paraId="442E02D4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342F6059" w14:textId="00DF9C04" w:rsidR="00301C3C" w:rsidRPr="00B36695" w:rsidRDefault="008B587A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 w:rsidRPr="008B587A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Pour les successions simples,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il est probable que le tribunal s’attende à une réduction de </w:t>
      </w:r>
      <w:r w:rsidRPr="008B587A">
        <w:rPr>
          <w:rFonts w:cs="Arial"/>
          <w:color w:val="333333"/>
          <w:sz w:val="24"/>
          <w:szCs w:val="24"/>
          <w:shd w:val="clear" w:color="auto" w:fill="FFFFFF"/>
          <w:lang w:val="fr-CA"/>
        </w:rPr>
        <w:t>la rémunération.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9828D5" w:rsidRPr="009828D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Pour celles qui sont compliquées, un </w:t>
      </w:r>
      <w:r w:rsidR="00720B2E">
        <w:rPr>
          <w:rFonts w:cs="Arial"/>
          <w:color w:val="333333"/>
          <w:sz w:val="24"/>
          <w:szCs w:val="24"/>
          <w:shd w:val="clear" w:color="auto" w:fill="FFFFFF"/>
          <w:lang w:val="fr-CA"/>
        </w:rPr>
        <w:t>montant plus élevé pourrait être justifié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   </w:t>
      </w:r>
    </w:p>
    <w:p w14:paraId="18900E4D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9815CE3" w14:textId="784E7552" w:rsidR="00301C3C" w:rsidRPr="00B36695" w:rsidRDefault="003351C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Les montants susmentionnés constituent la </w:t>
      </w:r>
      <w:r w:rsidRPr="003351CC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rémunération totale</w:t>
      </w: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pour l’ensemble des fiduciaires de la succe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ssion</w:t>
      </w:r>
      <w:r w:rsidR="00524D2E">
        <w:rPr>
          <w:rFonts w:cs="Arial"/>
          <w:color w:val="333333"/>
          <w:sz w:val="24"/>
          <w:szCs w:val="24"/>
          <w:shd w:val="clear" w:color="auto" w:fill="FFFFFF"/>
          <w:lang w:val="fr-CA"/>
        </w:rPr>
        <w:t>,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de même que pour toute personne </w:t>
      </w: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>(p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>.</w:t>
      </w: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ex. un</w:t>
      </w:r>
      <w:r w:rsidR="007E3091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avocat qui avise le fiduciare</w:t>
      </w: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) </w:t>
      </w:r>
      <w:r w:rsidR="0018078D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qui </w:t>
      </w:r>
      <w:r w:rsidRPr="003351CC">
        <w:rPr>
          <w:rFonts w:cs="Arial"/>
          <w:color w:val="333333"/>
          <w:sz w:val="24"/>
          <w:szCs w:val="24"/>
          <w:shd w:val="clear" w:color="auto" w:fill="FFFFFF"/>
          <w:lang w:val="fr-CA"/>
        </w:rPr>
        <w:t>réclame des honoraires pour l’exercice de fonctions de fiduciaire de la succession.</w:t>
      </w:r>
      <w:r w:rsidR="00914CE0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914CE0" w:rsidRPr="00914CE0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Cette question est abordée plus en détail </w:t>
      </w:r>
      <w:r w:rsidR="0038156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au point 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4 </w:t>
      </w:r>
      <w:r w:rsidR="0038156B">
        <w:rPr>
          <w:rFonts w:cs="Arial"/>
          <w:color w:val="333333"/>
          <w:sz w:val="24"/>
          <w:szCs w:val="24"/>
          <w:shd w:val="clear" w:color="auto" w:fill="FFFFFF"/>
          <w:lang w:val="fr-CA"/>
        </w:rPr>
        <w:t>ci-dessous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</w:t>
      </w:r>
      <w:r w:rsidR="0038156B">
        <w:rPr>
          <w:rFonts w:cs="Arial"/>
          <w:color w:val="333333"/>
          <w:sz w:val="24"/>
          <w:szCs w:val="24"/>
          <w:shd w:val="clear" w:color="auto" w:fill="FFFFFF"/>
          <w:lang w:val="fr-CA"/>
        </w:rPr>
        <w:t>Par ailleurs, s’il y a deux fiduciaires de la succession ou plus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 w:rsidR="0038156B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la rémunération totale 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(calcul</w:t>
      </w:r>
      <w:r w:rsidR="0038156B">
        <w:rPr>
          <w:rFonts w:cs="Arial"/>
          <w:color w:val="333333"/>
          <w:sz w:val="24"/>
          <w:szCs w:val="24"/>
          <w:shd w:val="clear" w:color="auto" w:fill="FFFFFF"/>
          <w:lang w:val="fr-CA"/>
        </w:rPr>
        <w:t>ée de la manière indiquée ci-dessus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)</w:t>
      </w:r>
      <w:r w:rsidR="00A008B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doit être partagée entre eux selon ce </w:t>
      </w:r>
      <w:r w:rsidR="00977B4A">
        <w:rPr>
          <w:rFonts w:cs="Arial"/>
          <w:color w:val="333333"/>
          <w:sz w:val="24"/>
          <w:szCs w:val="24"/>
          <w:shd w:val="clear" w:color="auto" w:fill="FFFFFF"/>
          <w:lang w:val="fr-CA"/>
        </w:rPr>
        <w:t>dont ils</w:t>
      </w:r>
      <w:r w:rsidR="007E3091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conviennent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. </w:t>
      </w:r>
    </w:p>
    <w:p w14:paraId="22D56428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F701763" w14:textId="778A9755" w:rsidR="00301C3C" w:rsidRPr="00B36695" w:rsidRDefault="00880959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U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ne fois que le fiduciaire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 la succession a 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achevé l’administration de la succession, </w:t>
      </w:r>
      <w:r w:rsidR="005514AF">
        <w:rPr>
          <w:rFonts w:cs="Arial"/>
          <w:color w:val="333333"/>
          <w:sz w:val="24"/>
          <w:szCs w:val="24"/>
          <w:shd w:val="clear" w:color="auto" w:fill="FFFFFF"/>
          <w:lang w:val="fr-CA"/>
        </w:rPr>
        <w:t>il peut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prendre la rémunération de l’exécuteur testamentaire si tous les bénéficiaires résiduels sont des adultes légalement capables et </w:t>
      </w:r>
      <w:r w:rsidR="00FE22AA">
        <w:rPr>
          <w:rFonts w:cs="Arial"/>
          <w:color w:val="333333"/>
          <w:sz w:val="24"/>
          <w:szCs w:val="24"/>
          <w:shd w:val="clear" w:color="auto" w:fill="FFFFFF"/>
          <w:lang w:val="fr-CA"/>
        </w:rPr>
        <w:t>s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’ils consentent expressément par écrit </w:t>
      </w:r>
      <w:r w:rsidR="005514A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au montant de la 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>rémunération</w:t>
      </w:r>
      <w:r w:rsidR="005514AF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demandée</w:t>
      </w:r>
      <w:r w:rsidR="009F3C21">
        <w:rPr>
          <w:rFonts w:cs="Arial"/>
          <w:color w:val="333333"/>
          <w:sz w:val="24"/>
          <w:szCs w:val="24"/>
          <w:shd w:val="clear" w:color="auto" w:fill="FFFFFF"/>
          <w:lang w:val="fr-CA"/>
        </w:rPr>
        <w:t>. Ce montant</w:t>
      </w:r>
      <w:r w:rsidR="001C5CE6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Pr="00880959">
        <w:rPr>
          <w:rFonts w:cs="Arial"/>
          <w:color w:val="333333"/>
          <w:sz w:val="24"/>
          <w:szCs w:val="24"/>
          <w:shd w:val="clear" w:color="auto" w:fill="FFFFFF"/>
          <w:lang w:val="fr-CA"/>
        </w:rPr>
        <w:t>devrait être conforme aux lignes directrices du tribunal.</w:t>
      </w:r>
      <w:r w:rsidR="00EB6229" w:rsidRPr="00F75E4B">
        <w:rPr>
          <w:lang w:val="fr-CA"/>
        </w:rPr>
        <w:t xml:space="preserve"> </w:t>
      </w:r>
      <w:r w:rsidR="00EB6229" w:rsidRP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Les bénéficiaires devraient être bien informés, </w:t>
      </w:r>
      <w:r w:rsid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 </w:t>
      </w:r>
      <w:r w:rsidR="00EB6229" w:rsidRP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>préfér</w:t>
      </w:r>
      <w:r w:rsid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>ence</w:t>
      </w:r>
      <w:r w:rsidR="00EB6229" w:rsidRP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par un conseiller juridique indépendant, de la procédure </w:t>
      </w:r>
      <w:r w:rsidR="00D548F2">
        <w:rPr>
          <w:rFonts w:cs="Arial"/>
          <w:color w:val="333333"/>
          <w:sz w:val="24"/>
          <w:szCs w:val="24"/>
          <w:shd w:val="clear" w:color="auto" w:fill="FFFFFF"/>
          <w:lang w:val="fr-CA"/>
        </w:rPr>
        <w:t>appropriée</w:t>
      </w:r>
      <w:r w:rsidR="004A6F73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pour facturer </w:t>
      </w:r>
      <w:r w:rsidR="003A4846">
        <w:rPr>
          <w:rFonts w:cs="Arial"/>
          <w:color w:val="333333"/>
          <w:sz w:val="24"/>
          <w:szCs w:val="24"/>
          <w:shd w:val="clear" w:color="auto" w:fill="FFFFFF"/>
          <w:lang w:val="fr-CA"/>
        </w:rPr>
        <w:t>le</w:t>
      </w:r>
      <w:r w:rsidR="00EB6229" w:rsidRPr="00EB622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travail de succession.</w:t>
      </w:r>
      <w:r w:rsidR="00AB1D31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>E</w:t>
      </w:r>
      <w:r w:rsidR="00FD4EE9" w:rsidRP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>n l</w:t>
      </w:r>
      <w:r w:rsid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>’</w:t>
      </w:r>
      <w:r w:rsidR="00FD4EE9" w:rsidRP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>absence de consentement de</w:t>
      </w:r>
      <w:r w:rsid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>s bénéficiaires résiduels</w:t>
      </w:r>
      <w:r w:rsidR="00FD4EE9" w:rsidRPr="00FD4EE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o</w:t>
      </w:r>
      <w:r w:rsidR="00D60EC2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u si un bénéficiaire est </w:t>
      </w:r>
      <w:r w:rsidR="000C3309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soit </w:t>
      </w:r>
      <w:r w:rsidR="00D60EC2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mineur, </w:t>
      </w:r>
      <w:r w:rsidR="000C3309">
        <w:rPr>
          <w:rFonts w:cs="Arial"/>
          <w:color w:val="333333"/>
          <w:sz w:val="24"/>
          <w:szCs w:val="24"/>
          <w:shd w:val="clear" w:color="auto" w:fill="FFFFFF"/>
          <w:lang w:val="fr-CA"/>
        </w:rPr>
        <w:t>soit</w:t>
      </w:r>
      <w:r w:rsidR="00D60EC2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frappé d’incapacité mentale et n’est pas représenté par un tuteur ou un procureur relatif aux biens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 w:rsidR="00EB60A6">
        <w:rPr>
          <w:rFonts w:cs="Arial"/>
          <w:color w:val="333333"/>
          <w:sz w:val="24"/>
          <w:szCs w:val="24"/>
          <w:shd w:val="clear" w:color="auto" w:fill="FFFFFF"/>
          <w:lang w:val="fr-CA"/>
        </w:rPr>
        <w:t>le fiduciaire de la succession doit alors</w:t>
      </w:r>
      <w:r w:rsidR="00EB60A6" w:rsidRPr="00EB60A6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demander au tribunal d’approuver les comptes de la succession et obtenir une a</w:t>
      </w:r>
      <w:r w:rsidR="002C2184">
        <w:rPr>
          <w:rFonts w:cs="Arial"/>
          <w:color w:val="333333"/>
          <w:sz w:val="24"/>
          <w:szCs w:val="24"/>
          <w:shd w:val="clear" w:color="auto" w:fill="FFFFFF"/>
          <w:lang w:val="fr-CA"/>
        </w:rPr>
        <w:t>utorisa</w:t>
      </w:r>
      <w:r w:rsidR="00EB60A6" w:rsidRPr="00EB60A6">
        <w:rPr>
          <w:rFonts w:cs="Arial"/>
          <w:color w:val="333333"/>
          <w:sz w:val="24"/>
          <w:szCs w:val="24"/>
          <w:shd w:val="clear" w:color="auto" w:fill="FFFFFF"/>
          <w:lang w:val="fr-CA"/>
        </w:rPr>
        <w:t>tion judiciaire pour toute rémunération en tant qu’exécuteur testamentaire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. (</w:t>
      </w:r>
      <w:r w:rsidR="004E291C">
        <w:rPr>
          <w:rFonts w:cs="Arial"/>
          <w:color w:val="333333"/>
          <w:sz w:val="24"/>
          <w:szCs w:val="24"/>
          <w:shd w:val="clear" w:color="auto" w:fill="FFFFFF"/>
          <w:lang w:val="fr-CA"/>
        </w:rPr>
        <w:t>Voir</w:t>
      </w:r>
      <w:r w:rsidR="00301C3C" w:rsidRPr="00B36695">
        <w:rPr>
          <w:sz w:val="24"/>
          <w:szCs w:val="24"/>
          <w:shd w:val="clear" w:color="auto" w:fill="FFFFFF"/>
          <w:lang w:val="fr-CA"/>
        </w:rPr>
        <w:t> </w:t>
      </w:r>
      <w:r w:rsidR="00301C3C" w:rsidRPr="00B36695">
        <w:rPr>
          <w:i/>
          <w:iCs/>
          <w:sz w:val="24"/>
          <w:szCs w:val="24"/>
          <w:shd w:val="clear" w:color="auto" w:fill="FFFFFF"/>
          <w:lang w:val="fr-CA"/>
        </w:rPr>
        <w:t>Re: Knoch</w:t>
      </w:r>
      <w:r w:rsidR="00301C3C" w:rsidRPr="00B36695">
        <w:rPr>
          <w:sz w:val="24"/>
          <w:szCs w:val="24"/>
          <w:shd w:val="clear" w:color="auto" w:fill="FFFFFF"/>
          <w:lang w:val="fr-CA"/>
        </w:rPr>
        <w:t> 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(1982), 12 E.T.R. 162 (Surr. Ct.)</w:t>
      </w:r>
      <w:r w:rsidR="008452C9">
        <w:rPr>
          <w:rFonts w:cs="Arial"/>
          <w:color w:val="333333"/>
          <w:sz w:val="24"/>
          <w:szCs w:val="24"/>
          <w:shd w:val="clear" w:color="auto" w:fill="FFFFFF"/>
          <w:lang w:val="fr-CA"/>
        </w:rPr>
        <w:t>.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)</w:t>
      </w:r>
    </w:p>
    <w:p w14:paraId="3A3E2E65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7E86B539" w14:textId="38467B89" w:rsidR="00301C3C" w:rsidRPr="00B36695" w:rsidRDefault="000072B6" w:rsidP="00301C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20"/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Quelle est la différence entre le travail juridique effectué par l’avocat pour la succession et le travail du fiduciaire de la succession</w:t>
      </w:r>
      <w:r w:rsidR="00301C3C" w:rsidRPr="00B36695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?</w:t>
      </w:r>
    </w:p>
    <w:p w14:paraId="10E3586D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7CC405DE" w14:textId="086FD0A1" w:rsidR="00301C3C" w:rsidRPr="00B36695" w:rsidRDefault="00CF1A81" w:rsidP="002642B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b/>
          <w:color w:val="333333"/>
          <w:sz w:val="24"/>
          <w:szCs w:val="24"/>
          <w:shd w:val="clear" w:color="auto" w:fill="FFFFFF"/>
          <w:lang w:val="fr-CA"/>
        </w:rPr>
        <w:t>Travail qui relève de l’avocat du fiduciaire de la succession :</w:t>
      </w:r>
    </w:p>
    <w:p w14:paraId="0721FF4D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3E4BE4F2" w14:textId="329B59E2" w:rsidR="00301C3C" w:rsidRPr="00B36695" w:rsidRDefault="007409C3" w:rsidP="002642B6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En règle générale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les honoraires juridiques pour les tâches décrites ci-dessous sont acceptés comme dépenses liées à l’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administration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de la succession et sont 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payable</w:t>
      </w:r>
      <w:r w:rsidR="002358A8">
        <w:rPr>
          <w:rFonts w:cs="Arial"/>
          <w:color w:val="333333"/>
          <w:sz w:val="24"/>
          <w:szCs w:val="24"/>
          <w:shd w:val="clear" w:color="auto" w:fill="FFFFFF"/>
          <w:lang w:val="fr-CA"/>
        </w:rPr>
        <w:t>s sur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la succession, en sus de la rémunération du fiduciaire de la succession :</w:t>
      </w:r>
    </w:p>
    <w:p w14:paraId="009AE5B2" w14:textId="77777777" w:rsidR="00301C3C" w:rsidRPr="00B36695" w:rsidRDefault="00301C3C" w:rsidP="002642B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color w:val="333333"/>
          <w:sz w:val="24"/>
          <w:szCs w:val="24"/>
          <w:shd w:val="clear" w:color="auto" w:fill="FFFFFF"/>
          <w:lang w:val="fr-CA"/>
        </w:rPr>
      </w:pPr>
    </w:p>
    <w:p w14:paraId="516A7F9B" w14:textId="7295532F" w:rsidR="00301C3C" w:rsidRPr="00B36695" w:rsidRDefault="00BD77FC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lastRenderedPageBreak/>
        <w:t xml:space="preserve">préparer tous les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documents </w:t>
      </w:r>
      <w:r w:rsidR="001F2F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nécessaire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s pour une requête en vue d’obtenir un certificat de nomination </w:t>
      </w:r>
      <w:r w:rsidR="00C165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à titre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fiduciaire de la succession;</w:t>
      </w:r>
    </w:p>
    <w:p w14:paraId="7DAE4203" w14:textId="0CE6A1D1" w:rsidR="00301C3C" w:rsidRPr="00B36695" w:rsidRDefault="00513DC3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aider à préparer une requête en vue d’obtenir un cautionnement relatif à l’a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dministration,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au besoin;</w:t>
      </w:r>
    </w:p>
    <w:p w14:paraId="21275731" w14:textId="31269873" w:rsidR="00301C3C" w:rsidRPr="00B36695" w:rsidRDefault="00640FA6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déposer ces documents auprès du tribunal et répondre à toute question ou demande de correction du tribunal;</w:t>
      </w:r>
    </w:p>
    <w:p w14:paraId="7D48AE11" w14:textId="472BBA6B" w:rsidR="00301C3C" w:rsidRPr="00B36695" w:rsidRDefault="00F544D7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préparer des copies notariées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du certificat, de la preuve de décès et des </w:t>
      </w:r>
      <w:r w:rsidR="00C607D0" w:rsidRP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documents des </w:t>
      </w:r>
      <w:r w:rsid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</w:t>
      </w:r>
      <w:r w:rsidR="00C607D0" w:rsidRP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tatistiques de l’état civil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au besoin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 w:rsid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pour aider </w:t>
      </w:r>
      <w:r w:rsidR="00BD7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le fiduciaire de la succession</w:t>
      </w:r>
      <w:r w:rsidR="00C607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</w:p>
    <w:p w14:paraId="684AB603" w14:textId="398EFE70" w:rsidR="00301C3C" w:rsidRPr="00B36695" w:rsidRDefault="00770560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préparer et faire publier l’a</w:t>
      </w:r>
      <w:r w:rsidR="00235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vis aux créanciers, si cela est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souhaitable, ainsi que les avis demandant des renseignements au sujet d’un testament ou d’un testament plus récent;</w:t>
      </w:r>
    </w:p>
    <w:p w14:paraId="15358A67" w14:textId="06DA8780" w:rsidR="003D3246" w:rsidRPr="00B36695" w:rsidRDefault="00AD5E1D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préparer ou </w:t>
      </w:r>
      <w:r w:rsidR="004D7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revoir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les </w:t>
      </w:r>
      <w:r w:rsidR="003D3246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documents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nécessaires pour transférer ou réaliser les actifs du défunt, comme </w:t>
      </w:r>
      <w:r w:rsidR="00C10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les demandes de t</w:t>
      </w:r>
      <w:r w:rsidR="003D3246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ransmission, </w:t>
      </w:r>
      <w:r w:rsidR="00C10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les indemnités et les procurations;</w:t>
      </w:r>
    </w:p>
    <w:p w14:paraId="420B47D1" w14:textId="27D15946" w:rsidR="003D3246" w:rsidRPr="00B36695" w:rsidRDefault="00EC0337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d’une façon générale, fournir des conseils sur les questions relatives à l’</w:t>
      </w:r>
      <w:r w:rsidR="003D3246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administration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 la succession, notamment </w:t>
      </w:r>
      <w:r w:rsidR="006A0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quant 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:</w:t>
      </w:r>
    </w:p>
    <w:p w14:paraId="45CEF1D2" w14:textId="66237ECE" w:rsidR="003D3246" w:rsidRPr="00B36695" w:rsidRDefault="00DE0C79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l’interprétation du testament</w:t>
      </w:r>
      <w:r w:rsidR="00DD40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et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sur toute ambiguïté</w:t>
      </w:r>
      <w:r w:rsidR="00DD40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qui s’y trouve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</w:p>
    <w:p w14:paraId="2F1FD769" w14:textId="2F144EA4" w:rsidR="00301C3C" w:rsidRPr="00B36695" w:rsidRDefault="00787A3C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la propriété des actifs du défunt et la validité des dettes de la succession;</w:t>
      </w:r>
    </w:p>
    <w:p w14:paraId="7397B3FA" w14:textId="336E8E62" w:rsidR="003D3246" w:rsidRPr="00B36695" w:rsidRDefault="00787A3C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les recherches concernant les actes d’exécution;</w:t>
      </w:r>
    </w:p>
    <w:p w14:paraId="1DE0800C" w14:textId="0DDB9385" w:rsidR="00301C3C" w:rsidRPr="00B36695" w:rsidRDefault="006D774F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les questions découlant de la </w:t>
      </w:r>
      <w:r w:rsidRPr="002358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fr-CA"/>
        </w:rPr>
        <w:t>Loi sur le droit de la famille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ou de</w:t>
      </w:r>
      <w:r w:rsidR="00730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</w:t>
      </w:r>
      <w:r w:rsidR="007C2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demandes de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7C2EAF" w:rsidRPr="007C2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redressement en faveur des personnes à charge</w:t>
      </w:r>
      <w:r w:rsidR="007C2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</w:p>
    <w:p w14:paraId="489D1A82" w14:textId="548879AE" w:rsidR="00301C3C" w:rsidRPr="00B36695" w:rsidRDefault="000D6A39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l’i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dentification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des héritiers légaux ou des bénéficiaires, au besoin;</w:t>
      </w:r>
    </w:p>
    <w:p w14:paraId="4E0ED860" w14:textId="69617C16" w:rsidR="00301C3C" w:rsidRPr="00B36695" w:rsidRDefault="00F56846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la préparation et le dépôt de la demande de prestations du RPC, des réclamations d’assurance et </w:t>
      </w:r>
      <w:r w:rsidR="00AE0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 la déclaration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sur l’a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dministration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de la succession;</w:t>
      </w:r>
    </w:p>
    <w:p w14:paraId="2A8FAAFA" w14:textId="5EE8DE67" w:rsidR="00301C3C" w:rsidRPr="00B36695" w:rsidRDefault="00754A92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la préparation des comptes de la succession, la rédaction de</w:t>
      </w:r>
      <w:r w:rsidR="00714E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la</w:t>
      </w:r>
      <w:r w:rsidR="00466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quittance à l’intention des bénéficiaires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, </w:t>
      </w:r>
      <w:r w:rsidR="003C6E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ainsi que l’envoi des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documents </w:t>
      </w:r>
      <w:r w:rsidR="003C6E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aux bénéficiaires à des fins d’examen et de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signature</w:t>
      </w:r>
      <w:r w:rsidR="003C6E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, s’ils sont d’accord;</w:t>
      </w:r>
    </w:p>
    <w:p w14:paraId="649EF2F6" w14:textId="0325E371" w:rsidR="00301C3C" w:rsidRPr="00B36695" w:rsidRDefault="00617A29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la rémunération du fiduciaire de la succession et</w:t>
      </w:r>
      <w:r w:rsidR="009E2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466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la procédure pour obtenir </w:t>
      </w:r>
      <w:r w:rsidR="009E2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l’approbation des comptes</w:t>
      </w:r>
      <w:r w:rsidR="00466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par le tribunal</w:t>
      </w:r>
      <w:r w:rsidR="009E2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,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s’il y a lieu;</w:t>
      </w:r>
    </w:p>
    <w:p w14:paraId="40DBC5C6" w14:textId="163F6835" w:rsidR="00301C3C" w:rsidRPr="00B36695" w:rsidRDefault="00572FA5" w:rsidP="002642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la d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istribution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des chèques aux bénéficiaires</w:t>
      </w:r>
      <w:r w:rsidR="000F73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</w:p>
    <w:p w14:paraId="4A3F00D0" w14:textId="587AB054" w:rsidR="00301C3C" w:rsidRPr="00B36695" w:rsidRDefault="00572FA5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au besoin, </w:t>
      </w:r>
      <w:r w:rsidR="004464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verser la part d’un bénéficiaire mineur au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235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comptable de la Cour </w:t>
      </w:r>
      <w:r w:rsidR="00584118" w:rsidRPr="00584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supérieure de justice</w:t>
      </w:r>
      <w:r w:rsidR="004464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</w:p>
    <w:p w14:paraId="6E0F1B21" w14:textId="28855E3A" w:rsidR="00301C3C" w:rsidRPr="00B36695" w:rsidRDefault="00572FA5" w:rsidP="002642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préparer les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documents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nécessaires pour obtenir une ordonnance du tribunal en vue de faire annuler tout cautionnement relatif à l’a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dministration. </w:t>
      </w:r>
    </w:p>
    <w:p w14:paraId="5490AC96" w14:textId="3FA8A051" w:rsidR="00301C3C" w:rsidRDefault="00405424" w:rsidP="00301C3C">
      <w:pPr>
        <w:shd w:val="clear" w:color="auto" w:fill="FFFFFF"/>
        <w:spacing w:before="100" w:beforeAutospacing="1" w:after="100" w:afterAutospacing="1" w:line="303" w:lineRule="atLeast"/>
        <w:ind w:left="720"/>
        <w:textAlignment w:val="baseline"/>
        <w:rPr>
          <w:rFonts w:cs="Arial"/>
          <w:color w:val="333333"/>
          <w:sz w:val="24"/>
          <w:szCs w:val="24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En tant qu’avocate, j’ai aussi une obligation fiduciaire envers le bénéficiaire </w:t>
      </w:r>
      <w:r w:rsidR="00C8778A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en ce qui a trait à 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son intérêt bénéficiaire</w:t>
      </w:r>
      <w:r w:rsidR="00B25A0D">
        <w:rPr>
          <w:rFonts w:cs="Arial"/>
          <w:color w:val="333333"/>
          <w:sz w:val="24"/>
          <w:szCs w:val="24"/>
          <w:shd w:val="clear" w:color="auto" w:fill="FFFFFF"/>
          <w:lang w:val="fr-CA"/>
        </w:rPr>
        <w:t>. J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 dois m’assurer que </w:t>
      </w:r>
      <w:r w:rsidR="00176E3E">
        <w:rPr>
          <w:rFonts w:cs="Arial"/>
          <w:color w:val="333333"/>
          <w:sz w:val="24"/>
          <w:szCs w:val="24"/>
          <w:shd w:val="clear" w:color="auto" w:fill="FFFFFF"/>
          <w:lang w:val="fr-CA"/>
        </w:rPr>
        <w:t>cet intérêt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n’est pas</w:t>
      </w:r>
      <w:r w:rsidR="002451A1"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 excessivement épuisé</w:t>
      </w:r>
      <w:r w:rsidR="00301C3C" w:rsidRPr="00B36695">
        <w:rPr>
          <w:rFonts w:cs="Arial"/>
          <w:color w:val="333333"/>
          <w:sz w:val="24"/>
          <w:szCs w:val="24"/>
          <w:lang w:val="fr-CA"/>
        </w:rPr>
        <w:t xml:space="preserve">. </w:t>
      </w:r>
      <w:r w:rsidR="005E0B60">
        <w:rPr>
          <w:rFonts w:cs="Arial"/>
          <w:color w:val="333333"/>
          <w:sz w:val="24"/>
          <w:szCs w:val="24"/>
          <w:lang w:val="fr-CA"/>
        </w:rPr>
        <w:t xml:space="preserve">En règle générale, j’agirai </w:t>
      </w:r>
      <w:r w:rsidR="005E0B60">
        <w:rPr>
          <w:rFonts w:cs="Arial"/>
          <w:i/>
          <w:color w:val="333333"/>
          <w:sz w:val="24"/>
          <w:szCs w:val="24"/>
          <w:lang w:val="fr-CA"/>
        </w:rPr>
        <w:t xml:space="preserve">pour le compte </w:t>
      </w:r>
      <w:r w:rsidR="005E0B60">
        <w:rPr>
          <w:rFonts w:cs="Arial"/>
          <w:color w:val="333333"/>
          <w:sz w:val="24"/>
          <w:szCs w:val="24"/>
          <w:lang w:val="fr-CA"/>
        </w:rPr>
        <w:t xml:space="preserve">du </w:t>
      </w:r>
      <w:r w:rsidR="00BD77FC">
        <w:rPr>
          <w:rFonts w:cs="Arial"/>
          <w:color w:val="333333"/>
          <w:sz w:val="24"/>
          <w:szCs w:val="24"/>
          <w:lang w:val="fr-CA"/>
        </w:rPr>
        <w:t>fiduciaire de la succession</w:t>
      </w:r>
      <w:r w:rsidR="005E0B60">
        <w:rPr>
          <w:rFonts w:cs="Arial"/>
          <w:color w:val="333333"/>
          <w:sz w:val="24"/>
          <w:szCs w:val="24"/>
          <w:lang w:val="fr-CA"/>
        </w:rPr>
        <w:t xml:space="preserve"> et conformément à ses instructions</w:t>
      </w:r>
      <w:r w:rsidR="003D3246" w:rsidRPr="00B36695">
        <w:rPr>
          <w:rFonts w:cs="Arial"/>
          <w:color w:val="333333"/>
          <w:sz w:val="24"/>
          <w:szCs w:val="24"/>
          <w:lang w:val="fr-CA"/>
        </w:rPr>
        <w:t>.</w:t>
      </w:r>
      <w:r w:rsidR="009437CB">
        <w:rPr>
          <w:rFonts w:cs="Arial"/>
          <w:color w:val="333333"/>
          <w:sz w:val="24"/>
          <w:szCs w:val="24"/>
          <w:lang w:val="fr-CA"/>
        </w:rPr>
        <w:t xml:space="preserve"> En tant qu’avocate du fiduciaire de la succession, je fais des recommandations</w:t>
      </w:r>
      <w:r w:rsidR="002358A8">
        <w:rPr>
          <w:rFonts w:cs="Arial"/>
          <w:color w:val="333333"/>
          <w:sz w:val="24"/>
          <w:szCs w:val="24"/>
          <w:lang w:val="fr-CA"/>
        </w:rPr>
        <w:t>,</w:t>
      </w:r>
      <w:r w:rsidR="009437CB">
        <w:rPr>
          <w:rFonts w:cs="Arial"/>
          <w:color w:val="333333"/>
          <w:sz w:val="24"/>
          <w:szCs w:val="24"/>
          <w:lang w:val="fr-CA"/>
        </w:rPr>
        <w:t xml:space="preserve"> mais je ne prends pas les</w:t>
      </w:r>
      <w:r w:rsidR="00301C3C" w:rsidRPr="00B36695">
        <w:rPr>
          <w:rFonts w:cs="Arial"/>
          <w:color w:val="333333"/>
          <w:sz w:val="24"/>
          <w:szCs w:val="24"/>
          <w:lang w:val="fr-CA"/>
        </w:rPr>
        <w:t xml:space="preserve"> d</w:t>
      </w:r>
      <w:r w:rsidR="009437CB">
        <w:rPr>
          <w:rFonts w:cs="Arial"/>
          <w:color w:val="333333"/>
          <w:sz w:val="24"/>
          <w:szCs w:val="24"/>
          <w:lang w:val="fr-CA"/>
        </w:rPr>
        <w:t>é</w:t>
      </w:r>
      <w:r w:rsidR="00301C3C" w:rsidRPr="00B36695">
        <w:rPr>
          <w:rFonts w:cs="Arial"/>
          <w:color w:val="333333"/>
          <w:sz w:val="24"/>
          <w:szCs w:val="24"/>
          <w:lang w:val="fr-CA"/>
        </w:rPr>
        <w:t xml:space="preserve">cisions.  </w:t>
      </w:r>
    </w:p>
    <w:p w14:paraId="75CB6D2A" w14:textId="77777777" w:rsidR="002358A8" w:rsidRPr="00B36695" w:rsidRDefault="002358A8" w:rsidP="00301C3C">
      <w:pPr>
        <w:shd w:val="clear" w:color="auto" w:fill="FFFFFF"/>
        <w:spacing w:before="100" w:beforeAutospacing="1" w:after="100" w:afterAutospacing="1" w:line="303" w:lineRule="atLeast"/>
        <w:ind w:left="720"/>
        <w:textAlignment w:val="baseline"/>
        <w:rPr>
          <w:rFonts w:cs="Arial"/>
          <w:color w:val="333333"/>
          <w:sz w:val="24"/>
          <w:szCs w:val="24"/>
          <w:lang w:val="fr-CA"/>
        </w:rPr>
      </w:pPr>
    </w:p>
    <w:p w14:paraId="4D39CA09" w14:textId="5F2E641B" w:rsidR="00301C3C" w:rsidRPr="00B36695" w:rsidRDefault="001A1B21" w:rsidP="00301C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b/>
          <w:color w:val="333333"/>
          <w:sz w:val="24"/>
          <w:szCs w:val="24"/>
          <w:shd w:val="clear" w:color="auto" w:fill="FFFFFF"/>
          <w:lang w:val="fr-CA"/>
        </w:rPr>
        <w:lastRenderedPageBreak/>
        <w:t>Responsabilités fiduciaires du fiduciaire de la succession :</w:t>
      </w:r>
      <w:r w:rsidR="00301C3C" w:rsidRPr="00B36695">
        <w:rPr>
          <w:rFonts w:cs="Arial"/>
          <w:b/>
          <w:color w:val="333333"/>
          <w:sz w:val="24"/>
          <w:szCs w:val="24"/>
          <w:shd w:val="clear" w:color="auto" w:fill="FFFFFF"/>
          <w:lang w:val="fr-CA"/>
        </w:rPr>
        <w:t xml:space="preserve">  </w:t>
      </w:r>
    </w:p>
    <w:p w14:paraId="3D08A96A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105821CD" w14:textId="2C42FD28" w:rsidR="00301C3C" w:rsidRPr="00B36695" w:rsidRDefault="00F85515" w:rsidP="00301C3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 xml:space="preserve">En plus de prendre les </w:t>
      </w:r>
      <w:r w:rsidR="00301C3C" w:rsidRPr="00B36695">
        <w:rPr>
          <w:rFonts w:cs="Arial"/>
          <w:i/>
          <w:color w:val="333333"/>
          <w:sz w:val="24"/>
          <w:szCs w:val="24"/>
          <w:shd w:val="clear" w:color="auto" w:fill="FFFFFF"/>
          <w:lang w:val="fr-CA"/>
        </w:rPr>
        <w:t>d</w:t>
      </w:r>
      <w:r>
        <w:rPr>
          <w:rFonts w:cs="Arial"/>
          <w:i/>
          <w:color w:val="333333"/>
          <w:sz w:val="24"/>
          <w:szCs w:val="24"/>
          <w:shd w:val="clear" w:color="auto" w:fill="FFFFFF"/>
          <w:lang w:val="fr-CA"/>
        </w:rPr>
        <w:t>é</w:t>
      </w:r>
      <w:r w:rsidR="00301C3C" w:rsidRPr="00B36695">
        <w:rPr>
          <w:rFonts w:cs="Arial"/>
          <w:i/>
          <w:color w:val="333333"/>
          <w:sz w:val="24"/>
          <w:szCs w:val="24"/>
          <w:shd w:val="clear" w:color="auto" w:fill="FFFFFF"/>
          <w:lang w:val="fr-CA"/>
        </w:rPr>
        <w:t>cisions</w:t>
      </w:r>
      <w:r>
        <w:rPr>
          <w:rFonts w:cs="Arial"/>
          <w:color w:val="333333"/>
          <w:sz w:val="24"/>
          <w:szCs w:val="24"/>
          <w:shd w:val="clear" w:color="auto" w:fill="FFFFFF"/>
          <w:lang w:val="fr-CA"/>
        </w:rPr>
        <w:t>, le fiduciaire de la succession a d’autres fonctions, notamment :</w:t>
      </w:r>
    </w:p>
    <w:p w14:paraId="2015643B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rPr>
          <w:color w:val="333333"/>
          <w:sz w:val="24"/>
          <w:szCs w:val="24"/>
          <w:shd w:val="clear" w:color="auto" w:fill="FFFFFF"/>
          <w:lang w:val="fr-CA"/>
        </w:rPr>
      </w:pPr>
    </w:p>
    <w:p w14:paraId="6FB2EC18" w14:textId="3A6E02F5" w:rsidR="00301C3C" w:rsidRPr="00B36695" w:rsidRDefault="00382518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s’il est nommé dans un testament</w:t>
      </w:r>
      <w:r w:rsidR="00466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s’occuper des funérailles et de l’enterrement du défunt; </w:t>
      </w:r>
    </w:p>
    <w:p w14:paraId="3E184B8E" w14:textId="70127B68" w:rsidR="00301C3C" w:rsidRPr="00B36695" w:rsidRDefault="00EB2ADB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trouver le dernier testament du défunt et fournir tous les documents et instructions nécessaires à un avocat; </w:t>
      </w:r>
    </w:p>
    <w:p w14:paraId="451763B9" w14:textId="19B713EC" w:rsidR="0047772E" w:rsidRPr="00B36695" w:rsidRDefault="00A213A1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déterminer les noms et adresses des bénéficiaires et envoyer des avis; </w:t>
      </w:r>
    </w:p>
    <w:p w14:paraId="2D598195" w14:textId="5BE24469" w:rsidR="00301C3C" w:rsidRPr="00B36695" w:rsidRDefault="00F079E0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protéger et évaluer les actifs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préparer l’inventaire des éléments d’actif et de passif à l’appui </w:t>
      </w:r>
      <w:r w:rsidR="00AE0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 la déclaration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sur l’a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dministration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de la succession déposé</w:t>
      </w:r>
      <w:r w:rsidR="00AE0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auprès du ministère des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Finance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s;</w:t>
      </w:r>
    </w:p>
    <w:p w14:paraId="5DCCEEA5" w14:textId="2F5B018D" w:rsidR="00301C3C" w:rsidRPr="00B36695" w:rsidRDefault="0001035E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rassembler les actifs de la succession</w:t>
      </w:r>
      <w:r w:rsidR="00043A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et</w:t>
      </w:r>
      <w:r w:rsidR="00043A9F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o</w:t>
      </w:r>
      <w:r w:rsidR="00F744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uvrir le compte bancaire de la succession;</w:t>
      </w:r>
    </w:p>
    <w:p w14:paraId="19EC0EA7" w14:textId="72128648" w:rsidR="00301C3C" w:rsidRPr="00B36695" w:rsidRDefault="00985F21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prendre des dispositions en vue de la vente de la résidence du défunt ou de sa remise au locateur; traiter avec un agent immobilier;</w:t>
      </w:r>
    </w:p>
    <w:p w14:paraId="0FFAE6ED" w14:textId="6EE940CF" w:rsidR="00301C3C" w:rsidRPr="00B36695" w:rsidRDefault="00466143" w:rsidP="002642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placer un </w:t>
      </w:r>
      <w:r w:rsidR="00B00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avis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aux </w:t>
      </w:r>
      <w:r w:rsidR="00B00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 créanciers pour éviter toute responsabilité personnelle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 pay</w:t>
      </w:r>
      <w:r w:rsidR="00235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er les dettes sur</w:t>
      </w:r>
      <w:r w:rsidR="00B00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les actifs de la succession, y compris les 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taxes</w:t>
      </w:r>
      <w:r w:rsidR="00B00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;</w:t>
      </w:r>
      <w:r w:rsidR="0047772E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  <w:r w:rsidR="00B00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contester toutes les dettes qui ne semblent pas légitimes;</w:t>
      </w:r>
      <w:r w:rsidR="0047772E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 </w:t>
      </w:r>
    </w:p>
    <w:p w14:paraId="2779C5CD" w14:textId="4586556D" w:rsidR="002642B6" w:rsidRPr="00B36695" w:rsidRDefault="0086098A" w:rsidP="004E30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hanging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trouver, protéger, préserver</w:t>
      </w:r>
      <w:r w:rsidR="002642B6" w:rsidRPr="00B36695"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 xml:space="preserve"> aliéner ou transférer les actifs de la succession conformément aux </w:t>
      </w:r>
      <w:r w:rsidR="002642B6" w:rsidRPr="00B36695"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 xml:space="preserve">instructions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contenues dans le testament ou aux principes juridiques applicables</w:t>
      </w:r>
      <w:r w:rsidR="002642B6" w:rsidRPr="00B36695"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 xml:space="preserve"> avec des conseils juridiques au besoin;</w:t>
      </w:r>
    </w:p>
    <w:p w14:paraId="05A609B1" w14:textId="427A19EF" w:rsidR="00301C3C" w:rsidRPr="00B36695" w:rsidRDefault="00A21455" w:rsidP="004E30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hanging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gérer les actifs dans le cadre de l’</w:t>
      </w:r>
      <w:r w:rsidR="00301C3C" w:rsidRPr="00B36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administration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 la succession;</w:t>
      </w:r>
    </w:p>
    <w:p w14:paraId="4DCE71F7" w14:textId="51574AE0" w:rsidR="00301C3C" w:rsidRPr="00B36695" w:rsidRDefault="00F91F1B" w:rsidP="004E30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hanging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recueillir les renseignements à fournir au comptable fiscaliste et veiller à ce que toutes les déclarations de revenus soient produites à temps pour éviter </w:t>
      </w:r>
      <w:r w:rsidR="002F2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 xml:space="preserve">le paiement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  <w:t>des pénalités et intérêts;</w:t>
      </w:r>
    </w:p>
    <w:p w14:paraId="03F6E015" w14:textId="6E60A322" w:rsidR="00301C3C" w:rsidRPr="00B36695" w:rsidRDefault="00F65E8C" w:rsidP="004E30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hanging="69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tenir et préparer des comptes de la succession</w:t>
      </w:r>
      <w:r w:rsidR="00480ABB"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 xml:space="preserve"> appropriés en vue de leur approbation par les bénéficiaires ou le tribunal; verser des paiements aux héritiers légaux dans un délai raisonnable, conformément à la loi et au testament</w:t>
      </w:r>
      <w:r w:rsidR="00A66890" w:rsidRPr="00B36695">
        <w:rPr>
          <w:rFonts w:ascii="Times New Roman" w:eastAsia="Times New Roman" w:hAnsi="Times New Roman" w:cs="Times New Roman"/>
          <w:color w:val="333333"/>
          <w:sz w:val="24"/>
          <w:szCs w:val="24"/>
          <w:lang w:val="fr-CA"/>
        </w:rPr>
        <w:t>.</w:t>
      </w:r>
    </w:p>
    <w:p w14:paraId="30FF46D1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4C4C9AD0" w14:textId="62F3B4AE" w:rsidR="00301C3C" w:rsidRPr="00B36695" w:rsidRDefault="00E906CD" w:rsidP="00301C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20"/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 xml:space="preserve">Quel est </w:t>
      </w:r>
      <w:r w:rsidR="00CB4978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 xml:space="preserve">l’effet </w:t>
      </w: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 xml:space="preserve">de ce partage des </w:t>
      </w:r>
      <w:r w:rsidR="00301C3C" w:rsidRPr="00B36695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respons</w:t>
      </w: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a</w:t>
      </w:r>
      <w:r w:rsidR="00301C3C" w:rsidRPr="00B36695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bilit</w:t>
      </w: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é</w:t>
      </w:r>
      <w:r w:rsidR="00301C3C" w:rsidRPr="00B36695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s</w:t>
      </w: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 xml:space="preserve"> sur la rémunération</w:t>
      </w:r>
      <w:r w:rsidR="00301C3C" w:rsidRPr="00B36695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 xml:space="preserve"> </w:t>
      </w:r>
      <w:r w:rsidR="001D4F2C"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réclamé</w:t>
      </w:r>
      <w:r>
        <w:rPr>
          <w:rFonts w:cs="Arial"/>
          <w:color w:val="333333"/>
          <w:sz w:val="24"/>
          <w:szCs w:val="24"/>
          <w:u w:val="single"/>
          <w:shd w:val="clear" w:color="auto" w:fill="FFFFFF"/>
          <w:lang w:val="fr-CA"/>
        </w:rPr>
        <w:t>e par le fiduciaire de la succession</w:t>
      </w:r>
      <w:r w:rsidR="00301C3C" w:rsidRPr="00B36695">
        <w:rPr>
          <w:rFonts w:cs="Arial"/>
          <w:color w:val="333333"/>
          <w:sz w:val="24"/>
          <w:szCs w:val="24"/>
          <w:shd w:val="clear" w:color="auto" w:fill="FFFFFF"/>
          <w:lang w:val="fr-CA"/>
        </w:rPr>
        <w:t>?</w:t>
      </w:r>
    </w:p>
    <w:p w14:paraId="31DC0411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094C63B" w14:textId="03277D7B" w:rsidR="00301C3C" w:rsidRPr="00B36695" w:rsidRDefault="00614D04" w:rsidP="00301C3C">
      <w:pPr>
        <w:pStyle w:val="NormalWeb"/>
        <w:shd w:val="clear" w:color="auto" w:fill="FFFFFF"/>
        <w:spacing w:before="0" w:beforeAutospacing="0" w:after="288" w:afterAutospacing="0" w:line="303" w:lineRule="atLeast"/>
        <w:rPr>
          <w:color w:val="333333"/>
          <w:lang w:val="fr-CA"/>
        </w:rPr>
      </w:pPr>
      <w:r>
        <w:rPr>
          <w:color w:val="333333"/>
          <w:shd w:val="clear" w:color="auto" w:fill="FFFFFF"/>
          <w:lang w:val="fr-CA"/>
        </w:rPr>
        <w:t xml:space="preserve">L’avocat qui est nommé à titre de fiduciaire de la succession ou qui effectue une partie du travail du fiduciaire de la succession </w:t>
      </w:r>
      <w:r w:rsidR="00301C3C" w:rsidRPr="00B36695">
        <w:rPr>
          <w:color w:val="333333"/>
          <w:shd w:val="clear" w:color="auto" w:fill="FFFFFF"/>
          <w:lang w:val="fr-CA"/>
        </w:rPr>
        <w:t>(</w:t>
      </w:r>
      <w:r w:rsidR="002358A8">
        <w:rPr>
          <w:color w:val="333333"/>
          <w:shd w:val="clear" w:color="auto" w:fill="FFFFFF"/>
          <w:lang w:val="fr-CA"/>
        </w:rPr>
        <w:t>par exemple</w:t>
      </w:r>
      <w:r>
        <w:rPr>
          <w:color w:val="333333"/>
          <w:shd w:val="clear" w:color="auto" w:fill="FFFFFF"/>
          <w:lang w:val="fr-CA"/>
        </w:rPr>
        <w:t xml:space="preserve"> si</w:t>
      </w:r>
      <w:r w:rsidR="00301C3C" w:rsidRPr="00B36695">
        <w:rPr>
          <w:color w:val="333333"/>
          <w:shd w:val="clear" w:color="auto" w:fill="FFFFFF"/>
          <w:lang w:val="fr-CA"/>
        </w:rPr>
        <w:t xml:space="preserve"> </w:t>
      </w:r>
      <w:r w:rsidR="00BD77FC">
        <w:rPr>
          <w:color w:val="333333"/>
          <w:shd w:val="clear" w:color="auto" w:fill="FFFFFF"/>
          <w:lang w:val="fr-CA"/>
        </w:rPr>
        <w:t>le fiduciaire de la succession</w:t>
      </w:r>
      <w:r>
        <w:rPr>
          <w:color w:val="333333"/>
          <w:shd w:val="clear" w:color="auto" w:fill="FFFFFF"/>
          <w:lang w:val="fr-CA"/>
        </w:rPr>
        <w:t xml:space="preserve"> le demande</w:t>
      </w:r>
      <w:r w:rsidR="00301C3C" w:rsidRPr="00B36695">
        <w:rPr>
          <w:color w:val="333333"/>
          <w:shd w:val="clear" w:color="auto" w:fill="FFFFFF"/>
          <w:lang w:val="fr-CA"/>
        </w:rPr>
        <w:t>)</w:t>
      </w:r>
      <w:r>
        <w:rPr>
          <w:color w:val="333333"/>
          <w:shd w:val="clear" w:color="auto" w:fill="FFFFFF"/>
          <w:lang w:val="fr-CA"/>
        </w:rPr>
        <w:t>,</w:t>
      </w:r>
      <w:r w:rsidR="00301C3C" w:rsidRPr="00B36695">
        <w:rPr>
          <w:color w:val="333333"/>
          <w:shd w:val="clear" w:color="auto" w:fill="FFFFFF"/>
          <w:lang w:val="fr-CA"/>
        </w:rPr>
        <w:t xml:space="preserve"> </w:t>
      </w:r>
      <w:r>
        <w:rPr>
          <w:color w:val="333333"/>
          <w:shd w:val="clear" w:color="auto" w:fill="FFFFFF"/>
          <w:lang w:val="fr-CA"/>
        </w:rPr>
        <w:t xml:space="preserve">en sus du travail juridique </w:t>
      </w:r>
      <w:r w:rsidR="003B603D">
        <w:rPr>
          <w:color w:val="333333"/>
          <w:shd w:val="clear" w:color="auto" w:fill="FFFFFF"/>
          <w:lang w:val="fr-CA"/>
        </w:rPr>
        <w:t>qu’il accomplit</w:t>
      </w:r>
      <w:r>
        <w:rPr>
          <w:color w:val="333333"/>
          <w:shd w:val="clear" w:color="auto" w:fill="FFFFFF"/>
          <w:lang w:val="fr-CA"/>
        </w:rPr>
        <w:t xml:space="preserve"> pour la succession</w:t>
      </w:r>
      <w:r w:rsidR="00301C3C" w:rsidRPr="00B36695">
        <w:rPr>
          <w:color w:val="333333"/>
          <w:shd w:val="clear" w:color="auto" w:fill="FFFFFF"/>
          <w:lang w:val="fr-CA"/>
        </w:rPr>
        <w:t xml:space="preserve">, </w:t>
      </w:r>
      <w:r w:rsidR="003B603D">
        <w:rPr>
          <w:color w:val="333333"/>
          <w:shd w:val="clear" w:color="auto" w:fill="FFFFFF"/>
          <w:lang w:val="fr-CA"/>
        </w:rPr>
        <w:t>doit</w:t>
      </w:r>
      <w:r w:rsidR="003B603D" w:rsidRPr="00831C0F">
        <w:rPr>
          <w:lang w:val="fr-CA"/>
        </w:rPr>
        <w:t xml:space="preserve"> </w:t>
      </w:r>
      <w:r w:rsidR="003B603D" w:rsidRPr="003B603D">
        <w:rPr>
          <w:color w:val="333333"/>
          <w:shd w:val="clear" w:color="auto" w:fill="FFFFFF"/>
          <w:lang w:val="fr-CA"/>
        </w:rPr>
        <w:t>prendre soin de faire la différence entre ces deux rôles</w:t>
      </w:r>
      <w:r w:rsidR="003B603D">
        <w:rPr>
          <w:color w:val="333333"/>
          <w:shd w:val="clear" w:color="auto" w:fill="FFFFFF"/>
          <w:lang w:val="fr-CA"/>
        </w:rPr>
        <w:t xml:space="preserve"> dans sa facturation et sa tenue de livres</w:t>
      </w:r>
      <w:r w:rsidR="00301C3C" w:rsidRPr="00B36695">
        <w:rPr>
          <w:color w:val="333333"/>
          <w:shd w:val="clear" w:color="auto" w:fill="FFFFFF"/>
          <w:lang w:val="fr-CA"/>
        </w:rPr>
        <w:t xml:space="preserve">. </w:t>
      </w:r>
      <w:r w:rsidR="00CF5A93" w:rsidRPr="00CF5A93">
        <w:rPr>
          <w:color w:val="333333"/>
          <w:shd w:val="clear" w:color="auto" w:fill="FFFFFF"/>
          <w:lang w:val="fr-CA"/>
        </w:rPr>
        <w:t>Le travail juridique et le travail d</w:t>
      </w:r>
      <w:r w:rsidR="00CF5A93">
        <w:rPr>
          <w:color w:val="333333"/>
          <w:shd w:val="clear" w:color="auto" w:fill="FFFFFF"/>
          <w:lang w:val="fr-CA"/>
        </w:rPr>
        <w:t>u</w:t>
      </w:r>
      <w:r w:rsidR="00CF5A93" w:rsidRPr="00CF5A93">
        <w:rPr>
          <w:color w:val="333333"/>
          <w:shd w:val="clear" w:color="auto" w:fill="FFFFFF"/>
          <w:lang w:val="fr-CA"/>
        </w:rPr>
        <w:t xml:space="preserve"> fiduciaire </w:t>
      </w:r>
      <w:r w:rsidR="00CF5A93">
        <w:rPr>
          <w:color w:val="333333"/>
          <w:shd w:val="clear" w:color="auto" w:fill="FFFFFF"/>
          <w:lang w:val="fr-CA"/>
        </w:rPr>
        <w:t>de la succession</w:t>
      </w:r>
      <w:r w:rsidR="00CF5A93" w:rsidRPr="00CF5A93">
        <w:rPr>
          <w:color w:val="333333"/>
          <w:shd w:val="clear" w:color="auto" w:fill="FFFFFF"/>
          <w:lang w:val="fr-CA"/>
        </w:rPr>
        <w:t xml:space="preserve"> sont rémunérés différemment</w:t>
      </w:r>
      <w:r w:rsidR="009D2C82">
        <w:rPr>
          <w:color w:val="333333"/>
          <w:shd w:val="clear" w:color="auto" w:fill="FFFFFF"/>
          <w:lang w:val="fr-CA"/>
        </w:rPr>
        <w:t>. L</w:t>
      </w:r>
      <w:r w:rsidR="00CF5A93" w:rsidRPr="00CF5A93">
        <w:rPr>
          <w:color w:val="333333"/>
          <w:shd w:val="clear" w:color="auto" w:fill="FFFFFF"/>
          <w:lang w:val="fr-CA"/>
        </w:rPr>
        <w:t xml:space="preserve">es recours dont disposent le fiduciaire </w:t>
      </w:r>
      <w:r w:rsidR="00CF5A93">
        <w:rPr>
          <w:color w:val="333333"/>
          <w:shd w:val="clear" w:color="auto" w:fill="FFFFFF"/>
          <w:lang w:val="fr-CA"/>
        </w:rPr>
        <w:t>de la succession</w:t>
      </w:r>
      <w:r w:rsidR="00CF5A93" w:rsidRPr="00CF5A93">
        <w:rPr>
          <w:color w:val="333333"/>
          <w:shd w:val="clear" w:color="auto" w:fill="FFFFFF"/>
          <w:lang w:val="fr-CA"/>
        </w:rPr>
        <w:t xml:space="preserve"> et les bénéficiaires afin de contester les honoraires juridiques et la rémunération de l’exécuteur testamentaire sont différents</w:t>
      </w:r>
      <w:r w:rsidR="00CF5A93">
        <w:rPr>
          <w:color w:val="333333"/>
          <w:shd w:val="clear" w:color="auto" w:fill="FFFFFF"/>
          <w:lang w:val="fr-CA"/>
        </w:rPr>
        <w:t xml:space="preserve"> </w:t>
      </w:r>
      <w:r w:rsidR="00301C3C" w:rsidRPr="00B36695">
        <w:rPr>
          <w:color w:val="333333"/>
          <w:lang w:val="fr-CA"/>
        </w:rPr>
        <w:t>(</w:t>
      </w:r>
      <w:r w:rsidR="000324C8">
        <w:rPr>
          <w:color w:val="333333"/>
          <w:lang w:val="fr-CA"/>
        </w:rPr>
        <w:t>voir</w:t>
      </w:r>
      <w:r w:rsidR="00301C3C" w:rsidRPr="00B36695">
        <w:rPr>
          <w:color w:val="333333"/>
          <w:lang w:val="fr-CA"/>
        </w:rPr>
        <w:t xml:space="preserve"> </w:t>
      </w:r>
      <w:r w:rsidR="00301C3C" w:rsidRPr="00B36695">
        <w:rPr>
          <w:i/>
          <w:iCs/>
          <w:color w:val="333333"/>
          <w:bdr w:val="none" w:sz="0" w:space="0" w:color="auto" w:frame="1"/>
          <w:lang w:val="fr-CA"/>
        </w:rPr>
        <w:t>Rooney Estate v. Stewart Estate (2007), Carswell Ont 6560</w:t>
      </w:r>
      <w:r w:rsidR="00301C3C" w:rsidRPr="00B36695">
        <w:rPr>
          <w:color w:val="333333"/>
          <w:lang w:val="fr-CA"/>
        </w:rPr>
        <w:t>)</w:t>
      </w:r>
      <w:r w:rsidR="000324C8">
        <w:rPr>
          <w:color w:val="333333"/>
          <w:lang w:val="fr-CA"/>
        </w:rPr>
        <w:t>.</w:t>
      </w:r>
    </w:p>
    <w:p w14:paraId="4685BF44" w14:textId="1A0819AA" w:rsidR="00301C3C" w:rsidRPr="00B36695" w:rsidRDefault="00A52C20" w:rsidP="00301C3C">
      <w:pPr>
        <w:shd w:val="clear" w:color="auto" w:fill="FFFFFF"/>
        <w:spacing w:before="100" w:beforeAutospacing="1" w:after="100" w:afterAutospacing="1" w:line="303" w:lineRule="atLeast"/>
        <w:textAlignment w:val="baseline"/>
        <w:rPr>
          <w:color w:val="333333"/>
          <w:sz w:val="24"/>
          <w:szCs w:val="24"/>
          <w:lang w:val="fr-CA"/>
        </w:rPr>
      </w:pPr>
      <w:r>
        <w:rPr>
          <w:color w:val="333333"/>
          <w:sz w:val="24"/>
          <w:szCs w:val="24"/>
          <w:lang w:val="fr-CA"/>
        </w:rPr>
        <w:t>Le travail juridique qui relève de l’avocat de</w:t>
      </w:r>
      <w:r w:rsidR="002358A8">
        <w:rPr>
          <w:color w:val="333333"/>
          <w:sz w:val="24"/>
          <w:szCs w:val="24"/>
          <w:lang w:val="fr-CA"/>
        </w:rPr>
        <w:t xml:space="preserve"> la succession peut être payé </w:t>
      </w:r>
      <w:r w:rsidR="00463D8A">
        <w:rPr>
          <w:color w:val="333333"/>
          <w:sz w:val="24"/>
          <w:szCs w:val="24"/>
          <w:lang w:val="fr-CA"/>
        </w:rPr>
        <w:t xml:space="preserve"> </w:t>
      </w:r>
      <w:r w:rsidR="007A7C82">
        <w:rPr>
          <w:color w:val="333333"/>
          <w:sz w:val="24"/>
          <w:szCs w:val="24"/>
          <w:lang w:val="fr-CA"/>
        </w:rPr>
        <w:t xml:space="preserve">sur les actifs de la succession </w:t>
      </w:r>
      <w:r w:rsidR="002358A8">
        <w:rPr>
          <w:color w:val="333333"/>
          <w:sz w:val="24"/>
          <w:szCs w:val="24"/>
          <w:lang w:val="fr-CA"/>
        </w:rPr>
        <w:t>en fonction du « temps consacré »</w:t>
      </w:r>
      <w:r w:rsidR="00E17F20">
        <w:rPr>
          <w:color w:val="333333"/>
          <w:sz w:val="24"/>
          <w:szCs w:val="24"/>
          <w:lang w:val="fr-CA"/>
        </w:rPr>
        <w:t xml:space="preserve">, </w:t>
      </w:r>
      <w:r>
        <w:rPr>
          <w:color w:val="333333"/>
          <w:sz w:val="24"/>
          <w:szCs w:val="24"/>
          <w:lang w:val="fr-CA"/>
        </w:rPr>
        <w:t xml:space="preserve"> comme dépense liée à l’</w:t>
      </w:r>
      <w:r w:rsidR="00301C3C" w:rsidRPr="00B36695">
        <w:rPr>
          <w:color w:val="333333"/>
          <w:sz w:val="24"/>
          <w:szCs w:val="24"/>
          <w:lang w:val="fr-CA"/>
        </w:rPr>
        <w:t xml:space="preserve">administration </w:t>
      </w:r>
      <w:r>
        <w:rPr>
          <w:color w:val="333333"/>
          <w:sz w:val="24"/>
          <w:szCs w:val="24"/>
          <w:lang w:val="fr-CA"/>
        </w:rPr>
        <w:t xml:space="preserve">de la </w:t>
      </w:r>
      <w:r>
        <w:rPr>
          <w:color w:val="333333"/>
          <w:sz w:val="24"/>
          <w:szCs w:val="24"/>
          <w:lang w:val="fr-CA"/>
        </w:rPr>
        <w:lastRenderedPageBreak/>
        <w:t>succession</w:t>
      </w:r>
      <w:r w:rsidR="00301C3C" w:rsidRPr="00B36695">
        <w:rPr>
          <w:color w:val="333333"/>
          <w:sz w:val="24"/>
          <w:szCs w:val="24"/>
          <w:lang w:val="fr-CA"/>
        </w:rPr>
        <w:t xml:space="preserve">. </w:t>
      </w:r>
      <w:r w:rsidR="00AC7F81">
        <w:rPr>
          <w:color w:val="333333"/>
          <w:sz w:val="24"/>
          <w:szCs w:val="24"/>
          <w:lang w:val="fr-CA"/>
        </w:rPr>
        <w:t xml:space="preserve">Cependant, si vous me demandez de fournir des services qui relèvent de la responsabilité du </w:t>
      </w:r>
      <w:r w:rsidR="00BD77FC">
        <w:rPr>
          <w:color w:val="333333"/>
          <w:sz w:val="24"/>
          <w:szCs w:val="24"/>
          <w:lang w:val="fr-CA"/>
        </w:rPr>
        <w:t>fiduciaire de la succession</w:t>
      </w:r>
      <w:r w:rsidR="00301C3C" w:rsidRPr="00B36695">
        <w:rPr>
          <w:color w:val="333333"/>
          <w:sz w:val="24"/>
          <w:szCs w:val="24"/>
          <w:lang w:val="fr-CA"/>
        </w:rPr>
        <w:t xml:space="preserve"> (</w:t>
      </w:r>
      <w:r w:rsidR="00AC7F81">
        <w:rPr>
          <w:color w:val="333333"/>
          <w:sz w:val="24"/>
          <w:szCs w:val="24"/>
          <w:lang w:val="fr-CA"/>
        </w:rPr>
        <w:t>voir la liste</w:t>
      </w:r>
      <w:r w:rsidR="00301C3C" w:rsidRPr="00B36695">
        <w:rPr>
          <w:color w:val="333333"/>
          <w:sz w:val="24"/>
          <w:szCs w:val="24"/>
          <w:lang w:val="fr-CA"/>
        </w:rPr>
        <w:t xml:space="preserve"> B </w:t>
      </w:r>
      <w:r w:rsidR="00AC7F81">
        <w:rPr>
          <w:color w:val="333333"/>
          <w:sz w:val="24"/>
          <w:szCs w:val="24"/>
          <w:lang w:val="fr-CA"/>
        </w:rPr>
        <w:t>ci-dessus</w:t>
      </w:r>
      <w:r w:rsidR="00301C3C" w:rsidRPr="00B36695">
        <w:rPr>
          <w:color w:val="333333"/>
          <w:sz w:val="24"/>
          <w:szCs w:val="24"/>
          <w:lang w:val="fr-CA"/>
        </w:rPr>
        <w:t xml:space="preserve">), </w:t>
      </w:r>
      <w:r w:rsidR="00C82D93">
        <w:rPr>
          <w:color w:val="333333"/>
          <w:sz w:val="24"/>
          <w:szCs w:val="24"/>
          <w:lang w:val="fr-CA"/>
        </w:rPr>
        <w:t>les honoraires juridiques seront alors facturés</w:t>
      </w:r>
      <w:r w:rsidR="00712CCB">
        <w:rPr>
          <w:color w:val="333333"/>
          <w:sz w:val="24"/>
          <w:szCs w:val="24"/>
          <w:lang w:val="fr-CA"/>
        </w:rPr>
        <w:t xml:space="preserve"> </w:t>
      </w:r>
      <w:r w:rsidR="00712CCB" w:rsidRPr="00712CCB">
        <w:rPr>
          <w:color w:val="333333"/>
          <w:sz w:val="24"/>
          <w:szCs w:val="24"/>
          <w:u w:val="single"/>
          <w:lang w:val="fr-CA"/>
        </w:rPr>
        <w:t>à votre nom</w:t>
      </w:r>
      <w:r w:rsidR="00712CCB">
        <w:rPr>
          <w:color w:val="333333"/>
          <w:sz w:val="24"/>
          <w:szCs w:val="24"/>
          <w:lang w:val="fr-CA"/>
        </w:rPr>
        <w:t>, en votre qualité de</w:t>
      </w:r>
      <w:r w:rsidR="00BD77FC">
        <w:rPr>
          <w:color w:val="333333"/>
          <w:sz w:val="24"/>
          <w:szCs w:val="24"/>
          <w:lang w:val="fr-CA"/>
        </w:rPr>
        <w:t xml:space="preserve"> fiduciaire de la succession</w:t>
      </w:r>
      <w:r w:rsidR="00712CCB">
        <w:rPr>
          <w:color w:val="333333"/>
          <w:sz w:val="24"/>
          <w:szCs w:val="24"/>
          <w:lang w:val="fr-CA"/>
        </w:rPr>
        <w:t>,</w:t>
      </w:r>
      <w:r w:rsidR="00301C3C" w:rsidRPr="00B36695">
        <w:rPr>
          <w:color w:val="333333"/>
          <w:sz w:val="24"/>
          <w:szCs w:val="24"/>
          <w:lang w:val="fr-CA"/>
        </w:rPr>
        <w:t xml:space="preserve"> </w:t>
      </w:r>
      <w:r w:rsidR="00712CCB">
        <w:rPr>
          <w:color w:val="333333"/>
          <w:sz w:val="24"/>
          <w:szCs w:val="24"/>
          <w:lang w:val="fr-CA"/>
        </w:rPr>
        <w:t>conformément à notre</w:t>
      </w:r>
      <w:r w:rsidR="00EF3509">
        <w:rPr>
          <w:color w:val="333333"/>
          <w:sz w:val="24"/>
          <w:szCs w:val="24"/>
          <w:lang w:val="fr-CA"/>
        </w:rPr>
        <w:t xml:space="preserve"> entente </w:t>
      </w:r>
      <w:r w:rsidR="00D61707">
        <w:rPr>
          <w:color w:val="333333"/>
          <w:sz w:val="24"/>
          <w:szCs w:val="24"/>
          <w:lang w:val="fr-CA"/>
        </w:rPr>
        <w:t>sur les honoraires</w:t>
      </w:r>
      <w:r w:rsidR="00301C3C" w:rsidRPr="00B36695">
        <w:rPr>
          <w:color w:val="333333"/>
          <w:sz w:val="24"/>
          <w:szCs w:val="24"/>
          <w:lang w:val="fr-CA"/>
        </w:rPr>
        <w:t>.</w:t>
      </w:r>
      <w:r w:rsidR="00E17F20">
        <w:rPr>
          <w:color w:val="333333"/>
          <w:sz w:val="24"/>
          <w:szCs w:val="24"/>
          <w:lang w:val="fr-CA"/>
        </w:rPr>
        <w:t xml:space="preserve"> </w:t>
      </w:r>
      <w:r w:rsidR="00CF7FC4">
        <w:rPr>
          <w:color w:val="333333"/>
          <w:sz w:val="24"/>
          <w:szCs w:val="24"/>
          <w:lang w:val="fr-CA"/>
        </w:rPr>
        <w:t>Ces</w:t>
      </w:r>
      <w:r w:rsidR="00EF3509">
        <w:rPr>
          <w:color w:val="333333"/>
          <w:sz w:val="24"/>
          <w:szCs w:val="24"/>
          <w:lang w:val="fr-CA"/>
        </w:rPr>
        <w:t xml:space="preserve"> honoraires </w:t>
      </w:r>
      <w:r w:rsidR="00B51C1D" w:rsidRPr="00B51C1D">
        <w:rPr>
          <w:color w:val="333333"/>
          <w:sz w:val="24"/>
          <w:szCs w:val="24"/>
          <w:lang w:val="fr-CA"/>
        </w:rPr>
        <w:t>doi</w:t>
      </w:r>
      <w:r w:rsidR="00B51C1D">
        <w:rPr>
          <w:color w:val="333333"/>
          <w:sz w:val="24"/>
          <w:szCs w:val="24"/>
          <w:lang w:val="fr-CA"/>
        </w:rPr>
        <w:t>vent</w:t>
      </w:r>
      <w:r w:rsidR="007A16EE">
        <w:rPr>
          <w:color w:val="333333"/>
          <w:sz w:val="24"/>
          <w:szCs w:val="24"/>
          <w:lang w:val="fr-CA"/>
        </w:rPr>
        <w:t xml:space="preserve"> ultimement</w:t>
      </w:r>
      <w:r w:rsidR="00B51C1D" w:rsidRPr="00B51C1D">
        <w:rPr>
          <w:color w:val="333333"/>
          <w:sz w:val="24"/>
          <w:szCs w:val="24"/>
          <w:lang w:val="fr-CA"/>
        </w:rPr>
        <w:t xml:space="preserve"> être déduit</w:t>
      </w:r>
      <w:r w:rsidR="00B51C1D">
        <w:rPr>
          <w:color w:val="333333"/>
          <w:sz w:val="24"/>
          <w:szCs w:val="24"/>
          <w:lang w:val="fr-CA"/>
        </w:rPr>
        <w:t>s</w:t>
      </w:r>
      <w:r w:rsidR="00B51C1D" w:rsidRPr="00B51C1D">
        <w:rPr>
          <w:color w:val="333333"/>
          <w:sz w:val="24"/>
          <w:szCs w:val="24"/>
          <w:lang w:val="fr-CA"/>
        </w:rPr>
        <w:t xml:space="preserve"> du montant </w:t>
      </w:r>
      <w:r w:rsidR="00B51C1D">
        <w:rPr>
          <w:color w:val="333333"/>
          <w:sz w:val="24"/>
          <w:szCs w:val="24"/>
          <w:lang w:val="fr-CA"/>
        </w:rPr>
        <w:t xml:space="preserve">de </w:t>
      </w:r>
      <w:r w:rsidR="00B51C1D" w:rsidRPr="00B51C1D">
        <w:rPr>
          <w:color w:val="333333"/>
          <w:sz w:val="24"/>
          <w:szCs w:val="24"/>
          <w:lang w:val="fr-CA"/>
        </w:rPr>
        <w:t xml:space="preserve">la rémunération </w:t>
      </w:r>
      <w:r w:rsidR="00B51C1D">
        <w:rPr>
          <w:color w:val="333333"/>
          <w:sz w:val="24"/>
          <w:szCs w:val="24"/>
          <w:lang w:val="fr-CA"/>
        </w:rPr>
        <w:t xml:space="preserve">réclamée par </w:t>
      </w:r>
      <w:r w:rsidR="00B51C1D" w:rsidRPr="00B51C1D">
        <w:rPr>
          <w:color w:val="333333"/>
          <w:sz w:val="24"/>
          <w:szCs w:val="24"/>
          <w:lang w:val="fr-CA"/>
        </w:rPr>
        <w:t>le fiduciaire de la succession</w:t>
      </w:r>
      <w:r w:rsidR="008A4FFA">
        <w:rPr>
          <w:color w:val="333333"/>
          <w:sz w:val="24"/>
          <w:szCs w:val="24"/>
          <w:lang w:val="fr-CA"/>
        </w:rPr>
        <w:t>. Sinon, la succession serait facturée deux fois pour le même service.</w:t>
      </w:r>
      <w:r w:rsidR="00F43F35">
        <w:rPr>
          <w:color w:val="333333"/>
          <w:sz w:val="24"/>
          <w:szCs w:val="24"/>
          <w:lang w:val="fr-CA"/>
        </w:rPr>
        <w:t xml:space="preserve"> </w:t>
      </w:r>
      <w:r w:rsidR="00F43F35" w:rsidRPr="00F43F35">
        <w:rPr>
          <w:color w:val="333333"/>
          <w:sz w:val="24"/>
          <w:szCs w:val="24"/>
          <w:lang w:val="fr-CA"/>
        </w:rPr>
        <w:t xml:space="preserve">Autrement dit, le fiduciaire ne peut pas réclamer une </w:t>
      </w:r>
      <w:r w:rsidR="00F43F35">
        <w:rPr>
          <w:color w:val="333333"/>
          <w:sz w:val="24"/>
          <w:szCs w:val="24"/>
          <w:lang w:val="fr-CA"/>
        </w:rPr>
        <w:t xml:space="preserve">rémunération </w:t>
      </w:r>
      <w:r w:rsidR="00F43F35" w:rsidRPr="00F43F35">
        <w:rPr>
          <w:color w:val="333333"/>
          <w:sz w:val="24"/>
          <w:szCs w:val="24"/>
          <w:lang w:val="fr-CA"/>
        </w:rPr>
        <w:t>pour le temps qu’il n’a pas consacré à des services</w:t>
      </w:r>
      <w:r w:rsidR="008110C0">
        <w:rPr>
          <w:color w:val="333333"/>
          <w:sz w:val="24"/>
          <w:szCs w:val="24"/>
          <w:lang w:val="fr-CA"/>
        </w:rPr>
        <w:t xml:space="preserve">. </w:t>
      </w:r>
      <w:r w:rsidR="004541D8">
        <w:rPr>
          <w:color w:val="333333"/>
          <w:sz w:val="24"/>
          <w:szCs w:val="24"/>
          <w:lang w:val="fr-CA"/>
        </w:rPr>
        <w:t>I</w:t>
      </w:r>
      <w:r w:rsidR="00F43F35" w:rsidRPr="00F43F35">
        <w:rPr>
          <w:color w:val="333333"/>
          <w:sz w:val="24"/>
          <w:szCs w:val="24"/>
          <w:lang w:val="fr-CA"/>
        </w:rPr>
        <w:t xml:space="preserve">l doit plutôt payer les comptes pour les services des autres à partir de sa propre </w:t>
      </w:r>
      <w:r w:rsidR="00F43F35">
        <w:rPr>
          <w:color w:val="333333"/>
          <w:sz w:val="24"/>
          <w:szCs w:val="24"/>
          <w:lang w:val="fr-CA"/>
        </w:rPr>
        <w:t>rémunération</w:t>
      </w:r>
      <w:r w:rsidR="00301C3C" w:rsidRPr="00B36695">
        <w:rPr>
          <w:color w:val="333333"/>
          <w:sz w:val="24"/>
          <w:szCs w:val="24"/>
          <w:lang w:val="fr-CA"/>
        </w:rPr>
        <w:t>. 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830"/>
      </w:tblGrid>
      <w:tr w:rsidR="00301C3C" w:rsidRPr="000712F2" w14:paraId="618961EC" w14:textId="77777777" w:rsidTr="0018078D">
        <w:tc>
          <w:tcPr>
            <w:tcW w:w="7830" w:type="dxa"/>
          </w:tcPr>
          <w:p w14:paraId="14077AE2" w14:textId="77777777" w:rsidR="00301C3C" w:rsidRPr="00B36695" w:rsidRDefault="00301C3C" w:rsidP="001807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</w:pPr>
          </w:p>
          <w:p w14:paraId="7E01E825" w14:textId="2DD7472F" w:rsidR="00301C3C" w:rsidRPr="00B36695" w:rsidRDefault="00F75DAC" w:rsidP="001807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</w:pP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Pour les raisons énoncées ci-dessus, 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je tiens </w:t>
            </w:r>
            <w:r w:rsidR="00CD15FB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habituellement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deux séries de </w:t>
            </w:r>
            <w:r w:rsidR="00924D2F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relevés 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de temps : </w:t>
            </w:r>
            <w:r w:rsidR="00347201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la première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pour le travail juridique que j’effectue et qui relève d</w:t>
            </w:r>
            <w:r w:rsidR="00831C0F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e l’avocat 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de la succession, et </w:t>
            </w:r>
            <w:r w:rsidR="00347201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la deuxième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pour tout travail que vous</w:t>
            </w:r>
            <w:r w:rsidR="00B64686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, en tant que fiduciaire de la succession,</w:t>
            </w:r>
            <w:r w:rsidR="0017008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m’avez demandé de faire</w:t>
            </w:r>
            <w:r w:rsidR="00661472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qui relèverait habituellement de votre responsabilité. Les comptes que je vous présente </w:t>
            </w:r>
            <w:r w:rsidR="004F649C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dans cette deuxième catégorie devraient être déduits de votre rémunération de fiduciaire de la succession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. </w:t>
            </w:r>
          </w:p>
          <w:p w14:paraId="2A33CE8D" w14:textId="77777777" w:rsidR="00301C3C" w:rsidRPr="00B36695" w:rsidRDefault="00301C3C" w:rsidP="001807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</w:pPr>
          </w:p>
          <w:p w14:paraId="2087BB7C" w14:textId="4BA23162" w:rsidR="00301C3C" w:rsidRPr="00B36695" w:rsidRDefault="00703FC4" w:rsidP="001807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</w:pP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J’ai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l’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intention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de m’assurer que les comptes présentés indiquent clairement </w:t>
            </w:r>
            <w:r w:rsidR="00422D4F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le type de travail effectué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 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dans chaque catégorie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. </w:t>
            </w:r>
            <w:r w:rsidR="009E2D59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J’ai aussi l’intention de demander un tarif réduit pour le travail </w:t>
            </w:r>
            <w:r w:rsidR="009C5E76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qui n’exige </w:t>
            </w:r>
            <w:r w:rsidR="009E2D59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pas l’expérience, les compétences ou les connaissances d’un avocat et de m’appuyer sur les « </w:t>
            </w:r>
            <w:r w:rsidR="009E2D59" w:rsidRPr="00B02D1A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lignes directrices en matière de tarif</w:t>
            </w:r>
            <w:r w:rsidR="009E2D59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> » mentionnées au point 2 ci-dessus</w:t>
            </w:r>
            <w:r w:rsidR="00301C3C" w:rsidRPr="00B36695"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  <w:t xml:space="preserve">. </w:t>
            </w:r>
          </w:p>
          <w:p w14:paraId="123049BC" w14:textId="77777777" w:rsidR="00301C3C" w:rsidRPr="00B36695" w:rsidRDefault="00301C3C" w:rsidP="001807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fr-CA"/>
              </w:rPr>
            </w:pPr>
          </w:p>
        </w:tc>
      </w:tr>
    </w:tbl>
    <w:p w14:paraId="6E7E9683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0961227E" w14:textId="77777777" w:rsidR="00301C3C" w:rsidRPr="00B36695" w:rsidRDefault="00301C3C" w:rsidP="00301C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333333"/>
          <w:sz w:val="24"/>
          <w:szCs w:val="24"/>
          <w:shd w:val="clear" w:color="auto" w:fill="FFFFFF"/>
          <w:lang w:val="fr-CA"/>
        </w:rPr>
      </w:pPr>
    </w:p>
    <w:p w14:paraId="6E74FBD6" w14:textId="0E714433" w:rsidR="00301C3C" w:rsidRPr="00B36695" w:rsidRDefault="00A66890" w:rsidP="002642B6">
      <w:pPr>
        <w:pBdr>
          <w:top w:val="nil"/>
          <w:left w:val="nil"/>
          <w:bottom w:val="nil"/>
          <w:right w:val="nil"/>
          <w:between w:val="nil"/>
          <w:bar w:val="nil"/>
        </w:pBdr>
        <w:rPr>
          <w:lang w:val="fr-CA"/>
        </w:rPr>
      </w:pPr>
      <w:r w:rsidRPr="00B36695">
        <w:rPr>
          <w:rFonts w:eastAsia="Arial Unicode MS"/>
          <w:sz w:val="24"/>
          <w:szCs w:val="24"/>
          <w:bdr w:val="nil"/>
          <w:lang w:val="fr-CA"/>
        </w:rPr>
        <w:t xml:space="preserve">Monique J. Charlebois, </w:t>
      </w:r>
      <w:r w:rsidR="00825370">
        <w:rPr>
          <w:rFonts w:eastAsia="Arial Unicode MS"/>
          <w:sz w:val="24"/>
          <w:szCs w:val="24"/>
          <w:bdr w:val="nil"/>
          <w:lang w:val="fr-CA"/>
        </w:rPr>
        <w:t>avocate</w:t>
      </w:r>
    </w:p>
    <w:sectPr w:rsidR="00301C3C" w:rsidRPr="00B36695" w:rsidSect="00301C3C">
      <w:head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E712E" w14:textId="77777777" w:rsidR="0096053D" w:rsidRDefault="0096053D" w:rsidP="00301C3C">
      <w:r>
        <w:separator/>
      </w:r>
    </w:p>
  </w:endnote>
  <w:endnote w:type="continuationSeparator" w:id="0">
    <w:p w14:paraId="30D85174" w14:textId="77777777" w:rsidR="0096053D" w:rsidRDefault="0096053D" w:rsidP="003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venir Next Condense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750A" w14:textId="3FC06C79" w:rsidR="002358A8" w:rsidRPr="0067185C" w:rsidRDefault="002358A8">
    <w:pPr>
      <w:pStyle w:val="Footer"/>
      <w:rPr>
        <w:lang w:val="fr-CA"/>
      </w:rPr>
    </w:pPr>
    <w:r w:rsidRPr="0067185C">
      <w:rPr>
        <w:lang w:val="fr-CA"/>
      </w:rPr>
      <w:t>Février 2017 v.1</w:t>
    </w:r>
  </w:p>
  <w:p w14:paraId="6D1DCE42" w14:textId="77777777" w:rsidR="002358A8" w:rsidRPr="0067185C" w:rsidRDefault="002358A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A2B0" w14:textId="77777777" w:rsidR="0096053D" w:rsidRDefault="0096053D" w:rsidP="00301C3C">
      <w:r>
        <w:separator/>
      </w:r>
    </w:p>
  </w:footnote>
  <w:footnote w:type="continuationSeparator" w:id="0">
    <w:p w14:paraId="5A74A2C2" w14:textId="77777777" w:rsidR="0096053D" w:rsidRDefault="0096053D" w:rsidP="003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5361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A6F4CB" w14:textId="77777777" w:rsidR="002358A8" w:rsidRDefault="002358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A0827" w14:textId="77777777" w:rsidR="002358A8" w:rsidRDefault="0023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421"/>
    <w:multiLevelType w:val="hybridMultilevel"/>
    <w:tmpl w:val="87D2E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B25819"/>
    <w:multiLevelType w:val="hybridMultilevel"/>
    <w:tmpl w:val="FDC40C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E77EA7"/>
    <w:multiLevelType w:val="hybridMultilevel"/>
    <w:tmpl w:val="305C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31FD"/>
    <w:multiLevelType w:val="hybridMultilevel"/>
    <w:tmpl w:val="8F5C2548"/>
    <w:lvl w:ilvl="0" w:tplc="C1AC70D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B3DE1"/>
    <w:multiLevelType w:val="hybridMultilevel"/>
    <w:tmpl w:val="0922C6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3232DA"/>
    <w:multiLevelType w:val="hybridMultilevel"/>
    <w:tmpl w:val="5D84F6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00"/>
    <w:rsid w:val="000072B6"/>
    <w:rsid w:val="0001035E"/>
    <w:rsid w:val="00010C42"/>
    <w:rsid w:val="00022096"/>
    <w:rsid w:val="00025936"/>
    <w:rsid w:val="000324C8"/>
    <w:rsid w:val="0003668C"/>
    <w:rsid w:val="00040078"/>
    <w:rsid w:val="00043A9F"/>
    <w:rsid w:val="00050A0B"/>
    <w:rsid w:val="000521BB"/>
    <w:rsid w:val="000712F2"/>
    <w:rsid w:val="00072031"/>
    <w:rsid w:val="00094372"/>
    <w:rsid w:val="00097400"/>
    <w:rsid w:val="000C3309"/>
    <w:rsid w:val="000C6F1B"/>
    <w:rsid w:val="000D6A39"/>
    <w:rsid w:val="000F3A31"/>
    <w:rsid w:val="000F7330"/>
    <w:rsid w:val="00113015"/>
    <w:rsid w:val="001249A3"/>
    <w:rsid w:val="00160DD2"/>
    <w:rsid w:val="0017008C"/>
    <w:rsid w:val="00171151"/>
    <w:rsid w:val="00176E3E"/>
    <w:rsid w:val="0018078D"/>
    <w:rsid w:val="00182667"/>
    <w:rsid w:val="001928CD"/>
    <w:rsid w:val="001A1B21"/>
    <w:rsid w:val="001A39A1"/>
    <w:rsid w:val="001C5CE6"/>
    <w:rsid w:val="001D1104"/>
    <w:rsid w:val="001D4F2C"/>
    <w:rsid w:val="001E055C"/>
    <w:rsid w:val="001F2F69"/>
    <w:rsid w:val="001F4700"/>
    <w:rsid w:val="0020031B"/>
    <w:rsid w:val="0021668C"/>
    <w:rsid w:val="002358A8"/>
    <w:rsid w:val="002451A1"/>
    <w:rsid w:val="00260BCF"/>
    <w:rsid w:val="002641A9"/>
    <w:rsid w:val="002642B6"/>
    <w:rsid w:val="00295947"/>
    <w:rsid w:val="002C2184"/>
    <w:rsid w:val="002F235B"/>
    <w:rsid w:val="00301C3C"/>
    <w:rsid w:val="0030429F"/>
    <w:rsid w:val="00334929"/>
    <w:rsid w:val="003351CC"/>
    <w:rsid w:val="00342C9A"/>
    <w:rsid w:val="00347201"/>
    <w:rsid w:val="003670E3"/>
    <w:rsid w:val="00373D2C"/>
    <w:rsid w:val="0038156B"/>
    <w:rsid w:val="00382518"/>
    <w:rsid w:val="003A4846"/>
    <w:rsid w:val="003B603D"/>
    <w:rsid w:val="003C6E71"/>
    <w:rsid w:val="003D3246"/>
    <w:rsid w:val="003E12FF"/>
    <w:rsid w:val="00405424"/>
    <w:rsid w:val="004142F4"/>
    <w:rsid w:val="00422D4F"/>
    <w:rsid w:val="0042402B"/>
    <w:rsid w:val="00433049"/>
    <w:rsid w:val="0044641B"/>
    <w:rsid w:val="004541D8"/>
    <w:rsid w:val="00463D8A"/>
    <w:rsid w:val="00466143"/>
    <w:rsid w:val="00472D09"/>
    <w:rsid w:val="0047772E"/>
    <w:rsid w:val="00480ABB"/>
    <w:rsid w:val="004A6F73"/>
    <w:rsid w:val="004B169F"/>
    <w:rsid w:val="004B1789"/>
    <w:rsid w:val="004B27FC"/>
    <w:rsid w:val="004B561B"/>
    <w:rsid w:val="004D0289"/>
    <w:rsid w:val="004D7844"/>
    <w:rsid w:val="004E291C"/>
    <w:rsid w:val="004E3083"/>
    <w:rsid w:val="004F649C"/>
    <w:rsid w:val="00513DC3"/>
    <w:rsid w:val="00514609"/>
    <w:rsid w:val="00524D2E"/>
    <w:rsid w:val="00540449"/>
    <w:rsid w:val="00547588"/>
    <w:rsid w:val="005514AF"/>
    <w:rsid w:val="00572FA5"/>
    <w:rsid w:val="00584118"/>
    <w:rsid w:val="005B2897"/>
    <w:rsid w:val="005E0B60"/>
    <w:rsid w:val="00614D04"/>
    <w:rsid w:val="00617A29"/>
    <w:rsid w:val="00640FA6"/>
    <w:rsid w:val="006574E3"/>
    <w:rsid w:val="00661472"/>
    <w:rsid w:val="0067185C"/>
    <w:rsid w:val="006A082F"/>
    <w:rsid w:val="006A2723"/>
    <w:rsid w:val="006B557B"/>
    <w:rsid w:val="006B7F5D"/>
    <w:rsid w:val="006D774F"/>
    <w:rsid w:val="00703FC4"/>
    <w:rsid w:val="007063BA"/>
    <w:rsid w:val="00712CCB"/>
    <w:rsid w:val="00714E94"/>
    <w:rsid w:val="00716742"/>
    <w:rsid w:val="00720B2E"/>
    <w:rsid w:val="0073076A"/>
    <w:rsid w:val="007409C3"/>
    <w:rsid w:val="007423FE"/>
    <w:rsid w:val="00754A92"/>
    <w:rsid w:val="00770560"/>
    <w:rsid w:val="00787A3C"/>
    <w:rsid w:val="007912A5"/>
    <w:rsid w:val="00792E3B"/>
    <w:rsid w:val="007A16EE"/>
    <w:rsid w:val="007A7C82"/>
    <w:rsid w:val="007C2EAF"/>
    <w:rsid w:val="007E3091"/>
    <w:rsid w:val="008110C0"/>
    <w:rsid w:val="00814509"/>
    <w:rsid w:val="0082055F"/>
    <w:rsid w:val="00825370"/>
    <w:rsid w:val="00831C0F"/>
    <w:rsid w:val="0083537A"/>
    <w:rsid w:val="0083589F"/>
    <w:rsid w:val="008452C9"/>
    <w:rsid w:val="008563C9"/>
    <w:rsid w:val="0086098A"/>
    <w:rsid w:val="00880959"/>
    <w:rsid w:val="00880C5B"/>
    <w:rsid w:val="00894629"/>
    <w:rsid w:val="008A4FFA"/>
    <w:rsid w:val="008B587A"/>
    <w:rsid w:val="008C5CEB"/>
    <w:rsid w:val="00914CE0"/>
    <w:rsid w:val="00924D2F"/>
    <w:rsid w:val="009309FF"/>
    <w:rsid w:val="00934372"/>
    <w:rsid w:val="009437CB"/>
    <w:rsid w:val="0096053D"/>
    <w:rsid w:val="009663DB"/>
    <w:rsid w:val="00977B4A"/>
    <w:rsid w:val="009828D5"/>
    <w:rsid w:val="00985F21"/>
    <w:rsid w:val="009B0AC0"/>
    <w:rsid w:val="009B3A81"/>
    <w:rsid w:val="009C5831"/>
    <w:rsid w:val="009C5E76"/>
    <w:rsid w:val="009D298D"/>
    <w:rsid w:val="009D2C82"/>
    <w:rsid w:val="009E1941"/>
    <w:rsid w:val="009E248D"/>
    <w:rsid w:val="009E2D59"/>
    <w:rsid w:val="009F3B28"/>
    <w:rsid w:val="009F3C21"/>
    <w:rsid w:val="00A008BF"/>
    <w:rsid w:val="00A067DC"/>
    <w:rsid w:val="00A213A1"/>
    <w:rsid w:val="00A21455"/>
    <w:rsid w:val="00A50B5A"/>
    <w:rsid w:val="00A52C20"/>
    <w:rsid w:val="00A66890"/>
    <w:rsid w:val="00A70AC3"/>
    <w:rsid w:val="00AB1D31"/>
    <w:rsid w:val="00AB2C99"/>
    <w:rsid w:val="00AC7F81"/>
    <w:rsid w:val="00AD5E1D"/>
    <w:rsid w:val="00AE0AC5"/>
    <w:rsid w:val="00B00547"/>
    <w:rsid w:val="00B02D1A"/>
    <w:rsid w:val="00B07CEB"/>
    <w:rsid w:val="00B12F3D"/>
    <w:rsid w:val="00B25A0D"/>
    <w:rsid w:val="00B317DF"/>
    <w:rsid w:val="00B31EDF"/>
    <w:rsid w:val="00B36695"/>
    <w:rsid w:val="00B51C1D"/>
    <w:rsid w:val="00B6251D"/>
    <w:rsid w:val="00B64686"/>
    <w:rsid w:val="00B87618"/>
    <w:rsid w:val="00B91895"/>
    <w:rsid w:val="00B92537"/>
    <w:rsid w:val="00B92731"/>
    <w:rsid w:val="00BA4916"/>
    <w:rsid w:val="00BC0E77"/>
    <w:rsid w:val="00BD77FC"/>
    <w:rsid w:val="00C015B0"/>
    <w:rsid w:val="00C054A6"/>
    <w:rsid w:val="00C106C8"/>
    <w:rsid w:val="00C16598"/>
    <w:rsid w:val="00C607D0"/>
    <w:rsid w:val="00C67FAE"/>
    <w:rsid w:val="00C82D93"/>
    <w:rsid w:val="00C8778A"/>
    <w:rsid w:val="00CB4978"/>
    <w:rsid w:val="00CC1945"/>
    <w:rsid w:val="00CD15FB"/>
    <w:rsid w:val="00CD2ADD"/>
    <w:rsid w:val="00CE237A"/>
    <w:rsid w:val="00CF1A81"/>
    <w:rsid w:val="00CF5A93"/>
    <w:rsid w:val="00CF7FC4"/>
    <w:rsid w:val="00D2785E"/>
    <w:rsid w:val="00D330D1"/>
    <w:rsid w:val="00D40F98"/>
    <w:rsid w:val="00D548F2"/>
    <w:rsid w:val="00D57BAB"/>
    <w:rsid w:val="00D60EC2"/>
    <w:rsid w:val="00D61707"/>
    <w:rsid w:val="00D710D6"/>
    <w:rsid w:val="00D7438A"/>
    <w:rsid w:val="00D8166A"/>
    <w:rsid w:val="00D91833"/>
    <w:rsid w:val="00DD0DA3"/>
    <w:rsid w:val="00DD40C1"/>
    <w:rsid w:val="00DE0C79"/>
    <w:rsid w:val="00E03416"/>
    <w:rsid w:val="00E17F20"/>
    <w:rsid w:val="00E20300"/>
    <w:rsid w:val="00E24465"/>
    <w:rsid w:val="00E65FCA"/>
    <w:rsid w:val="00E906CD"/>
    <w:rsid w:val="00EB2ADB"/>
    <w:rsid w:val="00EB327F"/>
    <w:rsid w:val="00EB60A6"/>
    <w:rsid w:val="00EB6229"/>
    <w:rsid w:val="00EC0337"/>
    <w:rsid w:val="00EF12C8"/>
    <w:rsid w:val="00EF3509"/>
    <w:rsid w:val="00F079E0"/>
    <w:rsid w:val="00F23C5D"/>
    <w:rsid w:val="00F37502"/>
    <w:rsid w:val="00F43F35"/>
    <w:rsid w:val="00F544D7"/>
    <w:rsid w:val="00F56846"/>
    <w:rsid w:val="00F6560D"/>
    <w:rsid w:val="00F65E8C"/>
    <w:rsid w:val="00F7441B"/>
    <w:rsid w:val="00F75DAC"/>
    <w:rsid w:val="00F75E4B"/>
    <w:rsid w:val="00F85515"/>
    <w:rsid w:val="00F870DC"/>
    <w:rsid w:val="00F91F1B"/>
    <w:rsid w:val="00FC5563"/>
    <w:rsid w:val="00FD4EE9"/>
    <w:rsid w:val="00FE22AA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75687"/>
  <w15:docId w15:val="{38E87EAB-7EBF-449C-910F-762721F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974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Hyperlink"/>
    <w:rsid w:val="000974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74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740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01C3C"/>
  </w:style>
  <w:style w:type="character" w:styleId="Emphasis">
    <w:name w:val="Emphasis"/>
    <w:basedOn w:val="DefaultParagraphFont"/>
    <w:uiPriority w:val="20"/>
    <w:qFormat/>
    <w:rsid w:val="00301C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1C3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1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1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C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C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5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8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8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8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iquecharleboi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oniquecharlebo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5" ma:contentTypeDescription="Crée un document." ma:contentTypeScope="" ma:versionID="c500c771481d8aad6e115df94111fa27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f639f5431ed56cbf3f2c2a720a11188a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74C655A-90B1-4586-A418-81CCEE549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27EBA-7463-4E41-AAED-0CB58A345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8B264-9035-4C86-9030-1A9B27472B1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10868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Charlebois</dc:creator>
  <cp:lastModifiedBy>Julienne Wang</cp:lastModifiedBy>
  <cp:revision>3</cp:revision>
  <dcterms:created xsi:type="dcterms:W3CDTF">2021-02-26T19:31:00Z</dcterms:created>
  <dcterms:modified xsi:type="dcterms:W3CDTF">2021-02-26T20:09:00Z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